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42.png" ContentType="image/png"/>
  <Override PartName="/word/media/rId32.png" ContentType="image/png"/>
  <Override PartName="/word/media/rId47.png" ContentType="image/png"/>
  <Override PartName="/word/media/rId52.png" ContentType="image/png"/>
  <Override PartName="/word/media/rId56.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Picocyanobacteria are the most abundant phytoplankters in aquatic ecosystems, and are crucial to the optical properties of ocean water, influencing its color and transparency. Picocyanobacteria from the genus</w:t>
      </w:r>
      <w:r>
        <w:t xml:space="preserve"> </w:t>
      </w:r>
      <w:r>
        <w:rPr>
          <w:iCs/>
          <w:i/>
        </w:rPr>
        <w:t xml:space="preserve">Synechococcus</w:t>
      </w:r>
      <w:r>
        <w:t xml:space="preserve"> </w:t>
      </w:r>
      <w:r>
        <w:t xml:space="preserve">occurred in tropical, subtropical and temperate zones, and they have been recorded recently even beyond the polar circle. The long-term scenarios forecast a growing expansion of</w:t>
      </w:r>
      <w:r>
        <w:t xml:space="preserve"> </w:t>
      </w:r>
      <w:r>
        <w:rPr>
          <w:iCs/>
          <w:i/>
        </w:rPr>
        <w:t xml:space="preserve">Synechococcus</w:t>
      </w:r>
      <w:r>
        <w:t xml:space="preserve"> </w:t>
      </w:r>
      <w:r>
        <w:t xml:space="preserve">sp. and its area of dominance. This is, among others, due to their high physiological plasticity in relation to changing environmental conditions.</w:t>
      </w:r>
    </w:p>
    <w:p>
      <w:pPr>
        <w:pStyle w:val="BodyText"/>
      </w:pPr>
      <w:r>
        <w:t xml:space="preserve">We demonstrated that cumulative diel photon dose consistently explain achieved growth rates of two PhycoCyanin(PC)-rich and two PhycoErythrin(PE)-rich strains of</w:t>
      </w:r>
      <w:r>
        <w:t xml:space="preserve"> </w:t>
      </w:r>
      <w:r>
        <w:rPr>
          <w:iCs/>
          <w:i/>
        </w:rPr>
        <w:t xml:space="preserve">Synechococcus</w:t>
      </w:r>
      <w:r>
        <w:t xml:space="preserve">, across a matrix of 4 photoperiods and 6 peaks Photosynthetically Active Radiation (PAR). Strains show distinct growth responses to cumulative diel photon dose, depending upon photoperiod and peak PAR. We found the strains were generally opportunistic in exploiting higher light diel light doses to achieve faster growth rates, although PE-rich strains suffered photoinhibition of growth under peak PAR 900 µmol photons m</w:t>
      </w:r>
      <w:r>
        <w:rPr>
          <w:vertAlign w:val="superscript"/>
        </w:rPr>
        <w:t xml:space="preserve">−2</w:t>
      </w:r>
      <w:r>
        <w:t xml:space="preserve">s</w:t>
      </w:r>
      <w:r>
        <w:rPr>
          <w:vertAlign w:val="superscript"/>
        </w:rPr>
        <w:t xml:space="preserve">−1</w:t>
      </w:r>
      <w:r>
        <w:t xml:space="preserve"> </w:t>
      </w:r>
      <w:r>
        <w:t xml:space="preserve">and 24 h photoperiod.</w:t>
      </w:r>
    </w:p>
    <w:p>
      <w:pPr>
        <w:pStyle w:val="BodyText"/>
      </w:pPr>
      <w:r>
        <w:t xml:space="preserve">We showed that strains show consistent patterns of light capture efficacy; Photosynthetically Usable Radiation (PUR)/PAR ratio across cumulative diel photon doses. The ratio of PUR/PAR shows a consistent exponential decay in relation to cumulative photon dose, across different combinations of photoperiod and peak PAR. The PE-rich strains show a much higher PUR/PAR ratio under low cumulative diel photon dose, but decay towards a plateau close to the PC-rich strains as cumulative diel photon dose increases.</w:t>
      </w:r>
    </w:p>
    <w:p>
      <w:pPr>
        <w:pStyle w:val="BodyText"/>
      </w:pPr>
      <w:r>
        <w:t xml:space="preserve">The</w:t>
      </w:r>
      <w:r>
        <w:t xml:space="preserve"> </w:t>
      </w:r>
      <m:oMath>
        <m:r>
          <m:t>σ</m:t>
        </m:r>
      </m:oMath>
      <w:r>
        <w:rPr>
          <w:vertAlign w:val="subscript"/>
        </w:rPr>
        <w:t xml:space="preserve">PSII</w:t>
      </w:r>
      <w:r>
        <w:t xml:space="preserve">’ shows a consistent, sharp exponential decay in relation to cumulative photon dose, across different combinations of photoperiod and peak PAR. The PE-rich strains show a much higher</w:t>
      </w:r>
      <w:r>
        <w:t xml:space="preserve"> </w:t>
      </w:r>
      <m:oMath>
        <m:r>
          <m:t>σ</m:t>
        </m:r>
      </m:oMath>
      <w:r>
        <w:rPr>
          <w:vertAlign w:val="subscript"/>
        </w:rPr>
        <w:t xml:space="preserve">PSII</w:t>
      </w:r>
      <w:r>
        <w:t xml:space="preserve">’ under low cumulative diel photon dose, and remain higher than the PC-rich strains even as cumulative diel photon dose increases. The</w:t>
      </w:r>
      <w:r>
        <w:t xml:space="preserve"> </w:t>
      </w:r>
      <m:oMath>
        <m:r>
          <m:t>σ</m:t>
        </m:r>
      </m:oMath>
      <w:r>
        <w:rPr>
          <w:vertAlign w:val="subscript"/>
        </w:rPr>
        <w:t xml:space="preserve">PSII</w:t>
      </w:r>
      <w:r>
        <w:t xml:space="preserve">’ also show a consistent relation to phycobilisome:chlorophyll</w:t>
      </w:r>
      <w:r>
        <w:t xml:space="preserve"> </w:t>
      </w:r>
      <w:r>
        <w:rPr>
          <w:iCs/>
          <w:i/>
        </w:rPr>
        <w:t xml:space="preserve">a</w:t>
      </w:r>
      <w:r>
        <w:t xml:space="preserve"> </w:t>
      </w:r>
      <w:r>
        <w:t xml:space="preserve">ratio (total Phyco/Chl</w:t>
      </w:r>
      <w:r>
        <w:t xml:space="preserve"> </w:t>
      </w:r>
      <w:r>
        <w:rPr>
          <w:iCs/>
          <w:i/>
        </w:rPr>
        <w:t xml:space="preserve">a</w:t>
      </w:r>
      <w:r>
        <w:t xml:space="preserve"> </w:t>
      </w:r>
      <w:r>
        <w:t xml:space="preserve">ratio). For</w:t>
      </w:r>
      <w:r>
        <w:t xml:space="preserve"> </w:t>
      </w:r>
      <m:oMath>
        <m:r>
          <m:t>σ</m:t>
        </m:r>
      </m:oMath>
      <w:r>
        <w:rPr>
          <w:vertAlign w:val="subscript"/>
        </w:rPr>
        <w:t xml:space="preserve">PSII</w:t>
      </w:r>
      <w:r>
        <w:t xml:space="preserve">’ excited through phycobilisome absorbance at 590 nm, strains show consistent positive correlation with total Phyco/Chl</w:t>
      </w:r>
      <w:r>
        <w:t xml:space="preserve"> </w:t>
      </w:r>
      <w:r>
        <w:rPr>
          <w:iCs/>
          <w:i/>
        </w:rPr>
        <w:t xml:space="preserve">a</w:t>
      </w:r>
      <w:r>
        <w:t xml:space="preserve"> </w:t>
      </w:r>
      <w:r>
        <w:t xml:space="preserve">ratio. Strains in exponential growth show significant scatter around this positive relation, likely related to regulatory control of</w:t>
      </w:r>
      <w:r>
        <w:t xml:space="preserve"> </w:t>
      </w:r>
      <m:oMath>
        <m:r>
          <m:t>σ</m:t>
        </m:r>
      </m:oMath>
      <w:r>
        <w:rPr>
          <w:vertAlign w:val="subscript"/>
        </w:rPr>
        <w:t xml:space="preserve">PSII</w:t>
      </w:r>
      <w:r>
        <w:t xml:space="preserve">‘</w:t>
      </w:r>
      <w:r>
        <w:t xml:space="preserve">, beyond pigment composition. Under pre-stationary phase</w:t>
      </w:r>
      <w:r>
        <w:t xml:space="preserve"> </w:t>
      </w:r>
      <m:oMath>
        <m:r>
          <m:t>σ</m:t>
        </m:r>
      </m:oMath>
      <w:r>
        <w:rPr>
          <w:vertAlign w:val="subscript"/>
        </w:rPr>
        <w:t xml:space="preserve">PSII</w:t>
      </w:r>
      <w:r>
        <w:t xml:space="preserve">’</w:t>
      </w:r>
      <w:r>
        <w:t xml:space="preserve"> </w:t>
      </w:r>
      <w:r>
        <w:t xml:space="preserve">vs. total Phyco/Chl</w:t>
      </w:r>
      <w:r>
        <w:t xml:space="preserve"> </w:t>
      </w:r>
      <w:r>
        <w:rPr>
          <w:iCs/>
          <w:i/>
        </w:rPr>
        <w:t xml:space="preserve">a</w:t>
      </w:r>
      <w:r>
        <w:t xml:space="preserve"> </w:t>
      </w:r>
      <w:r>
        <w:t xml:space="preserve">ratio showed much less scatter, suggesting an increase in reliance upon compositional regulation to control light delivery to PSII, as opposed to shorter term regulation.</w:t>
      </w:r>
    </w:p>
    <w:p>
      <w:pPr>
        <w:pStyle w:val="BodyText"/>
      </w:pPr>
      <w:r>
        <w:t xml:space="preserve">Our results show the PE-rich strains are stronger light harvesting competitors, but the PC-rich strains may have lower N-quotients for their light capture system. These differences help explain differential seasonal prevalence of PE-rich and PC-rich picocyanobacteria, in terms of costs of exploitation of different photic regimes. This work provides an important link in forecasting global changes in the occurrence of PC-rich and PE-rich</w:t>
      </w:r>
      <w:r>
        <w:t xml:space="preserve"> </w:t>
      </w:r>
      <w:r>
        <w:rPr>
          <w:iCs/>
          <w:i/>
        </w:rPr>
        <w:t xml:space="preserve">Synechococcus</w:t>
      </w:r>
      <w:r>
        <w:t xml:space="preserve"> </w:t>
      </w:r>
      <w:r>
        <w:t xml:space="preserve">phenotypes in aquatic ecosystems in the context of future climate change.</w:t>
      </w:r>
    </w:p>
    <w:bookmarkEnd w:id="21"/>
    <w:bookmarkStart w:id="22" w:name="introduction"/>
    <w:p>
      <w:pPr>
        <w:pStyle w:val="Heading1"/>
      </w:pPr>
      <w:r>
        <w:t xml:space="preserve">Introduction</w:t>
      </w:r>
    </w:p>
    <w:p>
      <w:pPr>
        <w:pStyle w:val="FirstParagraph"/>
      </w:pPr>
      <w:r>
        <w:t xml:space="preserve">The photic regime, comprised of light level (PAR), duration (photoperiod), and spectral quality, is a pivotal influence on the growth and productivity of phytoplankton within aquatic ecosystems. In polar regions, characterized by prolonged periods of wintertime darkness and continuous daylight during summer, phytoplankton encounter unique challenges. Light is the primary limiting factor for biomass production in winter, suppressing phytoplankton growth and metabolic activity, whereas the extended daylight in summer boosts photosynthetic activity</w:t>
      </w:r>
      <w:r>
        <w:t xml:space="preserve"> </w:t>
      </w:r>
      <w:r>
        <w:t xml:space="preserve">[1]</w:t>
      </w:r>
      <w:r>
        <w:t xml:space="preserve">. In temperate regions, seasonal variation in light-limitation is less pronounced, but phytoplankton are still influenced by daily and seasonal fluctuations. There is a clear contrast between more favorable conditions for phytoplankton growth in spring and summer, compared to fall and winter</w:t>
      </w:r>
      <w:r>
        <w:t xml:space="preserve"> </w:t>
      </w:r>
      <w:r>
        <w:t xml:space="preserve">[2,3]</w:t>
      </w:r>
      <w:r>
        <w:t xml:space="preserve">. In the tropics, daylight remains nearly constant throughout the year</w:t>
      </w:r>
      <w:r>
        <w:t xml:space="preserve"> </w:t>
      </w:r>
      <w:r>
        <w:t xml:space="preserve">[4]</w:t>
      </w:r>
      <w:r>
        <w:t xml:space="preserve">, and phytoplankton productivity is rather controlled by nutrients resupply into the euphotic zone</w:t>
      </w:r>
      <w:r>
        <w:t xml:space="preserve"> </w:t>
      </w:r>
      <w:r>
        <w:t xml:space="preserve">[5,6]</w:t>
      </w:r>
      <w:r>
        <w:t xml:space="preserve"> </w:t>
      </w:r>
      <w:r>
        <w:t xml:space="preserve">and zooplankton grazing</w:t>
      </w:r>
      <w:r>
        <w:t xml:space="preserve"> </w:t>
      </w:r>
      <w:r>
        <w:t xml:space="preserve">[7]</w:t>
      </w:r>
      <w:r>
        <w:t xml:space="preserve">.</w:t>
      </w:r>
    </w:p>
    <w:p>
      <w:pPr>
        <w:pStyle w:val="BodyText"/>
      </w:pPr>
      <w:r>
        <w:t xml:space="preserve">Cyanobacteria growth undergoes distinct phases, including lag phase, exponential growth phase, stationary phase, and death phase</w:t>
      </w:r>
      <w:r>
        <w:t xml:space="preserve"> </w:t>
      </w:r>
      <w:r>
        <w:t xml:space="preserve">[8]</w:t>
      </w:r>
      <w:r>
        <w:t xml:space="preserve">. During the lag phase, cyanobacteria acclimate to the environment and prepare for active growth by synthesizing essential cellular components. The exponential growth phase is marked by rapid cell division and biomass accumulation, fueled by optimal environmental conditions and nutrient availability. As nutrient levels become limited, algae enter the stationary phase, characterized by a balance between cell division and death, leading to a plateau in population growth. The death phase occurs when resources are depleted, and the algae experience cell death and decomposition, contributing to nutrient recycling in aquatic ecosystems</w:t>
      </w:r>
      <w:r>
        <w:t xml:space="preserve"> </w:t>
      </w:r>
      <w:r>
        <w:t xml:space="preserve">[8]</w:t>
      </w:r>
      <w:r>
        <w:t xml:space="preserve">. Cell death may also be associated with the release of toxins into the environment. Understanding the temporal progression of growth phases is essential for predicting cyanobacterial activity and their impact on ecosystem dynamics over time.</w:t>
      </w:r>
    </w:p>
    <w:p>
      <w:pPr>
        <w:pStyle w:val="BodyText"/>
      </w:pPr>
      <w:r>
        <w:rPr>
          <w:iCs/>
          <w:i/>
        </w:rPr>
        <w:t xml:space="preserve">Synechococcus</w:t>
      </w:r>
      <w:r>
        <w:t xml:space="preserve">, a diverse genus of picocyanobacteria, exhibits a nearly ubiquitous distribution spanning diverse geographical regions</w:t>
      </w:r>
      <w:r>
        <w:t xml:space="preserve"> </w:t>
      </w:r>
      <w:r>
        <w:t xml:space="preserve">[9]</w:t>
      </w:r>
      <w:r>
        <w:t xml:space="preserve">, while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[10]</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the ocean colour, allowing for satellite detection of</w:t>
      </w:r>
      <w:r>
        <w:t xml:space="preserve"> </w:t>
      </w:r>
      <w:r>
        <w:rPr>
          <w:iCs/>
          <w:i/>
        </w:rPr>
        <w:t xml:space="preserve">Synechococcus</w:t>
      </w:r>
      <w:r>
        <w:t xml:space="preserve"> </w:t>
      </w:r>
      <w:r>
        <w:t xml:space="preserve">rich communities</w:t>
      </w:r>
      <w:r>
        <w:t xml:space="preserve"> </w:t>
      </w:r>
      <w:r>
        <w:t xml:space="preserve">[11,12]</w:t>
      </w:r>
      <w:r>
        <w:t xml:space="preserve">. General relations among optical absorption spectra and pigment compositions have been used to determine diagnostic pigment indices of major phytoplankton functional types</w:t>
      </w:r>
      <w:r>
        <w:t xml:space="preserve"> </w:t>
      </w:r>
      <w:r>
        <w:t xml:space="preserve">[13–15]</w:t>
      </w:r>
      <w:r>
        <w:t xml:space="preserve">. Modeling suggests that</w:t>
      </w:r>
      <w:r>
        <w:t xml:space="preserve"> </w:t>
      </w:r>
      <w:r>
        <w:rPr>
          <w:iCs/>
          <w:i/>
        </w:rPr>
        <w:t xml:space="preserve">Synechococcus</w:t>
      </w:r>
      <w:r>
        <w:t xml:space="preserve"> </w:t>
      </w:r>
      <w:r>
        <w:t xml:space="preserve">abundance will rise due to climate warming</w:t>
      </w:r>
      <w:r>
        <w:t xml:space="preserve"> </w:t>
      </w:r>
      <w:r>
        <w:t xml:space="preserve">[9]</w:t>
      </w:r>
      <w:r>
        <w:t xml:space="preserve">. The projected changes may vary geographically and may include shifts in the spatial distribution of the main picocyanobacteria, as well as changes in the proportions among the</w:t>
      </w:r>
      <w:r>
        <w:t xml:space="preserve"> </w:t>
      </w:r>
      <w:r>
        <w:rPr>
          <w:iCs/>
          <w:i/>
        </w:rPr>
        <w:t xml:space="preserve">Synechococcus</w:t>
      </w:r>
      <w:r>
        <w:t xml:space="preserve"> </w:t>
      </w:r>
      <w:r>
        <w:t xml:space="preserve">sp. lineages</w:t>
      </w:r>
      <w:r>
        <w:t xml:space="preserve"> </w:t>
      </w:r>
      <w:r>
        <w:t xml:space="preserve">[16]</w:t>
      </w:r>
      <w:r>
        <w:t xml:space="preserve">. However, knowledge about the impact of these environmental changes on the occurrence and ecophysiology of various picocyanobacterial phenotypes is not sufficiently known.</w:t>
      </w:r>
    </w:p>
    <w:p>
      <w:pPr>
        <w:pStyle w:val="BodyText"/>
      </w:pPr>
      <w:r>
        <w:rPr>
          <w:iCs/>
          <w:i/>
        </w:rPr>
        <w:t xml:space="preserve">Synechococcus</w:t>
      </w:r>
      <w:r>
        <w:t xml:space="preserve"> </w:t>
      </w:r>
      <w:r>
        <w:t xml:space="preserve">exhibits significant phenotypic diversity across many lineages, encompassing strains rich in PhycoErythrin (PE-rich) or PhycoCyanin (PC-rich)</w:t>
      </w:r>
      <w:r>
        <w:t xml:space="preserve"> </w:t>
      </w:r>
      <w:r>
        <w:t xml:space="preserve">[17,18]</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low-light conditions, primarily inhabiting the deeper layers of the water column where green light prevails. These differences result in PC-rich and PE-rich</w:t>
      </w:r>
      <w:r>
        <w:t xml:space="preserve"> </w:t>
      </w:r>
      <w:r>
        <w:rPr>
          <w:iCs/>
          <w:i/>
        </w:rPr>
        <w:t xml:space="preserve">Synechococcus</w:t>
      </w:r>
      <w:r>
        <w:t xml:space="preserve"> </w:t>
      </w:r>
      <w:r>
        <w:t xml:space="preserve">sp. strains predominantly occupying complementary habitats</w:t>
      </w:r>
      <w:r>
        <w:t xml:space="preserve"> </w:t>
      </w:r>
      <w:r>
        <w:t xml:space="preserve">[16,17,19]</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aquatic environments, relating to varying metabolic costs between physiological strategies. The aim of this research was to determine whether photic regimes and growth phases affect both growth and light-capture in PC-rich and PE-rich</w:t>
      </w:r>
      <w:r>
        <w:t xml:space="preserve"> </w:t>
      </w:r>
      <w:r>
        <w:rPr>
          <w:iCs/>
          <w:i/>
        </w:rPr>
        <w:t xml:space="preserve">Synechococcus</w:t>
      </w:r>
      <w:r>
        <w:t xml:space="preserve"> </w:t>
      </w:r>
      <w:r>
        <w:t xml:space="preserve">sp.</w:t>
      </w:r>
    </w:p>
    <w:bookmarkEnd w:id="22"/>
    <w:bookmarkStart w:id="41"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and two PhycoErythrin(PE)-rich (CCBA_048 or CCBA_127) strains of</w:t>
      </w:r>
      <w:r>
        <w:t xml:space="preserve"> </w:t>
      </w:r>
      <w:r>
        <w:rPr>
          <w:iCs/>
          <w:i/>
        </w:rPr>
        <w:t xml:space="preserve">Synechococcus</w:t>
      </w:r>
      <w:r>
        <w:t xml:space="preserve"> </w:t>
      </w:r>
      <w:r>
        <w:t xml:space="preserve">were obtained from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[20]</w:t>
      </w:r>
      <w:r>
        <w:t xml:space="preserve"> </w:t>
      </w:r>
      <w:r>
        <w:t xml:space="preserve">at salinity of 8 PSU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glass tubes in a Multi-Cultivator MC 1000-OD (Photon Systems Instruments, Drásov, Czech Republic). Each culture tube contained 75 mL of f/2 medium inoculated with and 5 mL of growing pre-culture, to achieve exponential growth from the beginning of the experiment, with little to no lag phase upon inoculation.</w:t>
      </w:r>
    </w:p>
    <w:p>
      <w:pPr>
        <w:pStyle w:val="BodyText"/>
      </w:pPr>
      <w:r>
        <w:t xml:space="preserve">Cultures grew at 22℃, with photoperiods of 8, 12, 16, or 24 h, with peak Photosynthetically Active Radiation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reflect the natural movement of the sun, the photoperiods of 8-16 h were applied in the shape of a sine wave, while the 24-hour photoperiod was applied in a square shape. Since the area under a sine curve is 1/2 the area under a square of equal width, the 24 h square photoperiod cultures received 4 times the diel photon dose of the 12 h sine photoperiod cultures.</w:t>
      </w:r>
    </w:p>
    <w:p>
      <w:pPr>
        <w:pStyle w:val="BodyText"/>
      </w:pPr>
      <w:r>
        <w:t xml:space="preserve">The cultures of picocyanobacteria were acclimatized for one day to the new conditions corresponding to the incubation conditions of the proper culture. Tubes contained Glass Aeration Tubes and were closed with a silicone inert stopper perforated by an aeration input tube extending to the bottom of the culture tube, and a pressure outlet tube. Aeration with a total air flow rate of around 1,100 mL min</w:t>
      </w:r>
      <w:r>
        <w:rPr>
          <w:vertAlign w:val="superscript"/>
        </w:rPr>
        <w:t xml:space="preserve">−1</w:t>
      </w:r>
      <w:r>
        <w:t xml:space="preserve"> </w:t>
      </w:r>
      <w:r>
        <w:t xml:space="preserve">distributed across 8 tubes for ~ 140 mL min</w:t>
      </w:r>
      <w:r>
        <w:rPr>
          <w:vertAlign w:val="superscript"/>
        </w:rPr>
        <w:t xml:space="preserve">−1</w:t>
      </w:r>
      <w:r>
        <w:t xml:space="preserve"> </w:t>
      </w:r>
      <w:r>
        <w:t xml:space="preserve">tube</w:t>
      </w:r>
      <w:r>
        <w:rPr>
          <w:vertAlign w:val="superscript"/>
        </w:rPr>
        <w:t xml:space="preserve">−1</w:t>
      </w:r>
      <w:r>
        <w:t xml:space="preserve"> </w:t>
      </w:r>
      <w:r>
        <w:t xml:space="preserve">ensures mixing and provides sufficient air/CO</w:t>
      </w:r>
      <w:r>
        <w:rPr>
          <w:vertAlign w:val="subscript"/>
        </w:rPr>
        <w:t xml:space="preserve">2</w:t>
      </w:r>
      <w:r>
        <w:t xml:space="preserve"> </w:t>
      </w:r>
      <w:r>
        <w:t xml:space="preserve">supply to cultures across the entire culture volume. Cultivation and monitoring functions (light, temperature, optical density, and aeration gas) of the Multi-Cultivator system was controlled via the Photobioreactor Control Software (Photon Systems Instruments, Drásov, Czech Republic).</w:t>
      </w:r>
    </w:p>
    <w:bookmarkEnd w:id="24"/>
    <w:bookmarkStart w:id="29" w:name="X3e6d5dcf018e63900a9e0a19c30d4a75f556906"/>
    <w:p>
      <w:pPr>
        <w:pStyle w:val="Heading2"/>
      </w:pPr>
      <w:r>
        <w:t xml:space="preserve">The growth curve and chlorophyll specific exponential growth rate analysis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w:t>
      </w:r>
    </w:p>
    <w:p>
      <w:pPr>
        <w:pStyle w:val="BodyText"/>
      </w:pPr>
      <w:r>
        <w:t xml:space="preserve">Based on the obtained measurements of growth we determined exponential chlorophyll specific exponential growth rate (µ) by fitting logistic growth curves to plots of the chlorophyll</w:t>
      </w:r>
      <w:r>
        <w:t xml:space="preserve"> </w:t>
      </w:r>
      <w:r>
        <w:rPr>
          <w:iCs/>
          <w:i/>
        </w:rPr>
        <w:t xml:space="preserve">a</w:t>
      </w:r>
      <w:r>
        <w:t xml:space="preserve"> </w:t>
      </w:r>
      <w:r>
        <w:t xml:space="preserve">proxy of ΔOD vs. elapsed time for each combination of strain, photoperiod, and peak PAR (Fig. S4 in Supplementary materials). We used a modified Levenberg-Marquardt fitting algorithm</w:t>
      </w:r>
      <w:r>
        <w:t xml:space="preserve"> </w:t>
      </w:r>
      <w:r>
        <w:t xml:space="preserve">[</w:t>
      </w:r>
      <w:r>
        <w:rPr>
          <w:bCs/>
          <w:b/>
        </w:rPr>
        <w:t xml:space="preserve">minpack.lm?</w:t>
      </w:r>
      <w:r>
        <w:t xml:space="preserve">]</w:t>
      </w:r>
      <w:r>
        <w:t xml:space="preserve">.</w:t>
      </w:r>
    </w:p>
    <w:p>
      <w:pPr>
        <w:pStyle w:val="BodyText"/>
      </w:pPr>
      <w:r>
        <w:t xml:space="preserve">To determine the transition point between growth phases, 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was taken as an index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 left y-axis) of PE-rich culture of Synechococcus sp. (048) vs. elapsed time (h); 1st derivative of OD680 taken over 1 h increments (black solid line, right y-axis). Solid blue line shows logistic fits of chlorophyll proxy OD680-OD720 (ΔOD) vs. elapsed time. The vertical red dot dash line represents the time when the culture reached their maximum absolute hourly growth (tMaxAHG) of the 1st derivative of OD680, taken as an index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 left y-axis) of PE-rich culture of</w:t>
      </w:r>
      <w:r>
        <w:rPr>
          <w:bCs/>
          <w:b/>
        </w:rPr>
        <w:t xml:space="preserve"> </w:t>
      </w:r>
      <w:r>
        <w:rPr>
          <w:iCs/>
          <w:i/>
          <w:bCs/>
          <w:b/>
        </w:rPr>
        <w:t xml:space="preserve">Synechococcus</w:t>
      </w:r>
      <w:r>
        <w:rPr>
          <w:bCs/>
          <w:b/>
        </w:rPr>
        <w:t xml:space="preserve"> </w:t>
      </w:r>
      <w:r>
        <w:rPr>
          <w:bCs/>
          <w:b/>
        </w:rPr>
        <w:t xml:space="preserve">sp. (048) vs. elapsed time (h)</w:t>
      </w:r>
      <w:r>
        <w:t xml:space="preserv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-OD</w:t>
      </w:r>
      <w:r>
        <w:rPr>
          <w:vertAlign w:val="subscript"/>
        </w:rPr>
        <w:t xml:space="preserve">720</w:t>
      </w:r>
      <w:r>
        <w:t xml:space="preserve"> </w:t>
      </w:r>
      <w:r>
        <w:t xml:space="preserve">(ΔOD) vs. elapsed time. The vertical red dot dash line represents the time when the culture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taken as an index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was calculated using linear regression models based on cell concentration (N mL</w:t>
      </w:r>
      <w:r>
        <w:rPr>
          <w:vertAlign w:val="superscript"/>
        </w:rPr>
        <w:t xml:space="preserve">−1</w:t>
      </w:r>
      <w:r>
        <w:t xml:space="preserve">) and OD at 680 nm. The OD of cultures was measured using a CLARIOstar Plus Plate Reader (BMG, Labtech, Ortenberg, Germany) and calculation of the cell number was conducted using the PAMAS S40 GO Particle counter (PAMAS Partikelmess- und Analysesysteme GmbH, Rutesheim, Germany). The linear correlations between N and OD</w:t>
      </w:r>
      <w:r>
        <w:rPr>
          <w:vertAlign w:val="subscript"/>
        </w:rPr>
        <w:t xml:space="preserve">680</w:t>
      </w:r>
      <w:r>
        <w:t xml:space="preserve"> </w:t>
      </w:r>
      <w:r>
        <w:t xml:space="preserve">for individual strains were used to estimate the number of cells based on OD measurements obtained from Multi-Cultivator system. Linear regression, coefficient of determination, Pearson correlation coefficients, and p-value was presented in Tab. S1 (Supplementary materials).</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OLIS CLARiTY 17 UV/Vis/NIR with integrating cavity upgrade spectrophotometer (On-Line Instrument Systems, Inc., Bogart, GA, USA) according to the method described by</w:t>
      </w:r>
      <w:r>
        <w:t xml:space="preserve"> </w:t>
      </w:r>
      <w:r>
        <w:t xml:space="preserve">[21]</w:t>
      </w:r>
      <w:r>
        <w:t xml:space="preserve"> </w:t>
      </w:r>
      <w:r>
        <w:t xml:space="preserve">with modifications. In an experiment, identical 8 mL solutions that contained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[22]</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as described above (Fig.</w:t>
      </w:r>
      <w:r>
        <w:t xml:space="preserve"> </w:t>
      </w:r>
      <w:r>
        <w:t xml:space="preserve">2</w:t>
      </w:r>
      <w:r>
        <w:t xml:space="preserve">) we estimated Photosynthetically Usable Radiation (PUR) according to the method proposed by</w:t>
      </w:r>
      <w:r>
        <w:t xml:space="preserve"> </w:t>
      </w:r>
      <w:r>
        <w:t xml:space="preserve">[23]</w:t>
      </w:r>
      <w:r>
        <w:t xml:space="preserve">. Initially, we normalized the obtained whole-cell absorbances (AbsNorm</w:t>
      </w:r>
      <w:r>
        <w:rPr>
          <w:vertAlign w:val="subscript"/>
        </w:rPr>
        <w:t xml:space="preserve">440</w:t>
      </w:r>
      <w:r>
        <w:t xml:space="preserve">) and emission spectra of the white LED lamps (EmNorm</w:t>
      </w:r>
      <w:r>
        <w:rPr>
          <w:vertAlign w:val="subscript"/>
        </w:rPr>
        <w:t xml:space="preserve">440</w:t>
      </w:r>
      <w:r>
        <w:t xml:space="preserve">) to a reference wavelength of 440 nm. The PUR value, which is the ratio of the normalized sum of absorbance and emission spectra to the sum of normalized emission spectra multiplied by the intensity of the tested light (PAR) was calculated (Eq. (1)).</w:t>
      </w:r>
    </w:p>
    <w:p>
      <w:pPr>
        <w:pStyle w:val="BodyText"/>
      </w:pPr>
      <m:oMathPara>
        <m:oMathParaPr>
          <m:jc m:val="center"/>
        </m:oMathParaPr>
        <m:oMath>
          <m:r>
            <m:t>P</m:t>
          </m:r>
          <m:r>
            <m:t>U</m:t>
          </m:r>
          <m:r>
            <m:t>R</m:t>
          </m:r>
          <m:r>
            <m:rPr>
              <m:sty m:val="p"/>
            </m:rPr>
            <m:t>=</m:t>
          </m:r>
          <m:r>
            <m:t>P</m:t>
          </m:r>
          <m:r>
            <m:t>A</m:t>
          </m:r>
          <m:r>
            <m:t>R</m:t>
          </m:r>
          <m:f>
            <m:fPr>
              <m:type m:val="bar"/>
            </m:fPr>
            <m:num>
              <m:r>
                <m:t>s</m:t>
              </m:r>
              <m:r>
                <m:t>u</m:t>
              </m:r>
              <m:r>
                <m:t>m</m:t>
              </m:r>
              <m:d>
                <m:dPr>
                  <m:begChr m:val="("/>
                  <m:endChr m:val=")"/>
                  <m:sepChr m:val=""/>
                  <m:grow/>
                </m:dPr>
                <m:e>
                  <m:r>
                    <m:t>A</m:t>
                  </m:r>
                  <m:r>
                    <m:t>b</m:t>
                  </m:r>
                  <m:r>
                    <m:t>s</m:t>
                  </m:r>
                  <m:r>
                    <m:t>N</m:t>
                  </m:r>
                  <m:r>
                    <m:t>o</m:t>
                  </m:r>
                  <m:r>
                    <m:t>r</m:t>
                  </m:r>
                  <m:sSub>
                    <m:e>
                      <m:r>
                        <m:t>m</m:t>
                      </m:r>
                    </m:e>
                    <m:sub>
                      <m:r>
                        <m:t>440</m:t>
                      </m:r>
                    </m:sub>
                  </m:sSub>
                  <m:r>
                    <m:rPr>
                      <m:sty m:val="p"/>
                    </m:rPr>
                    <m:t>*</m:t>
                  </m:r>
                  <m:r>
                    <m:t>E</m:t>
                  </m:r>
                  <m:r>
                    <m:t>m</m:t>
                  </m:r>
                  <m:r>
                    <m:t>N</m:t>
                  </m:r>
                  <m:r>
                    <m:t>o</m:t>
                  </m:r>
                  <m:r>
                    <m:t>r</m:t>
                  </m:r>
                  <m:sSub>
                    <m:e>
                      <m:r>
                        <m:t>m</m:t>
                      </m:r>
                    </m:e>
                    <m:sub>
                      <m:r>
                        <m:t>440</m:t>
                      </m:r>
                    </m:sub>
                  </m:sSub>
                </m:e>
              </m:d>
            </m:num>
            <m:den>
              <m:r>
                <m:t>s</m:t>
              </m:r>
              <m:r>
                <m:t>u</m:t>
              </m:r>
              <m:r>
                <m:t>m</m:t>
              </m:r>
              <m:d>
                <m:dPr>
                  <m:begChr m:val="("/>
                  <m:endChr m:val=")"/>
                  <m:sepChr m:val=""/>
                  <m:grow/>
                </m:dPr>
                <m:e>
                  <m:r>
                    <m:t>E</m:t>
                  </m:r>
                  <m:r>
                    <m:t>m</m:t>
                  </m:r>
                  <m:r>
                    <m:t>N</m:t>
                  </m:r>
                  <m:r>
                    <m:t>o</m:t>
                  </m:r>
                  <m:r>
                    <m:t>r</m:t>
                  </m:r>
                  <m:sSub>
                    <m:e>
                      <m:r>
                        <m:t>m</m:t>
                      </m:r>
                    </m:e>
                    <m:sub>
                      <m:r>
                        <m:t>440</m:t>
                      </m:r>
                    </m:sub>
                  </m:sSub>
                </m:e>
              </m:d>
            </m:den>
          </m:f>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A440nm, were measured from the exponential or pre-stationary phases of growth, together with emission spectra of the white LED lampused for culture growth (Photosynthetically Active Radiation (PAR), normalized to emission at 440 nm (light gray area), in this example 300 µmol photons m−2s−1). Estimated Photosynthetically Usable Radiation (PUR) is shown as a green area for the PC-rich strain and a red area for the PE-rich strain, with total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A</w:t>
      </w:r>
      <w:r>
        <w:rPr>
          <w:vertAlign w:val="subscript"/>
        </w:rPr>
        <w:t xml:space="preserve">440nm</w:t>
      </w:r>
      <w:r>
        <w:t xml:space="preserve">, were measured from the exponential or pre-stationary phases of growth, together with emission spectra of the white LED lampused for culture growth (Photosynthetically Active Radiation (PAR), normalized to emission at 440 nm (light gray area), in this example 300 µmol photons m</w:t>
      </w:r>
      <w:r>
        <w:rPr>
          <w:vertAlign w:val="superscript"/>
        </w:rPr>
        <w:t xml:space="preserve">−2</w:t>
      </w:r>
      <w:r>
        <w:t xml:space="preserve">s</w:t>
      </w:r>
      <w:r>
        <w:rPr>
          <w:vertAlign w:val="superscript"/>
        </w:rPr>
        <w:t xml:space="preserve">−1</w:t>
      </w:r>
      <w:r>
        <w:t xml:space="preserve">). Estimated Photosynthetically Usable Radiation (PUR) is shown as a green area for the PC-rich strain and a red area for the PE-rich strain, with total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pigment-content-analysis"/>
    <w:p>
      <w:pPr>
        <w:pStyle w:val="Heading2"/>
      </w:pPr>
      <w:r>
        <w:t xml:space="preserve">Pigment content analysis</w:t>
      </w:r>
    </w:p>
    <w:p>
      <w:pPr>
        <w:pStyle w:val="FirstParagraph"/>
      </w:pPr>
      <w:r>
        <w:t xml:space="preserve">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was estimated with previously determined linear correlations between pigment content obtained by extraction technique and absorbance values of individual pigment peaks (nm) obtained from the whole-cell absorbance spectra. Linear regression, coefficient of determination, Pearson correlation coefficients, and p-value was presented in Tab. S2 (Supplementary materials). Total amount of phycobilin pigments (Total Phyco) for individual strains was obtained by adding the content of PE, PC, and APC.</w:t>
      </w:r>
    </w:p>
    <w:p>
      <w:pPr>
        <w:pStyle w:val="BodyText"/>
      </w:pPr>
      <w:r>
        <w:t xml:space="preserve">Pigments extraction were performed using formula from</w:t>
      </w:r>
      <w:r>
        <w:t xml:space="preserve"> </w:t>
      </w:r>
      <w:r>
        <w:t xml:space="preserve">[24]</w:t>
      </w:r>
      <w:r>
        <w:t xml:space="preserve"> </w:t>
      </w:r>
      <w:r>
        <w:t xml:space="preserve">for Ch</w:t>
      </w:r>
      <w:r>
        <w:t xml:space="preserve"> </w:t>
      </w:r>
      <w:r>
        <w:rPr>
          <w:iCs/>
          <w:i/>
        </w:rPr>
        <w:t xml:space="preserve">a</w:t>
      </w:r>
      <w:r>
        <w:t xml:space="preserve"> </w:t>
      </w:r>
      <w:r>
        <w:t xml:space="preserve">and Car concentrations. PE, PC, and APC were calculated based on</w:t>
      </w:r>
      <w:r>
        <w:t xml:space="preserve"> </w:t>
      </w:r>
      <w:r>
        <w:t xml:space="preserve">[25]</w:t>
      </w:r>
      <w:r>
        <w:t xml:space="preserve">. The extracts contained photosynthetic pigments were measured using a CLARIOstar Plus Plate Reader (BMG, Labtech, Ortenberg, Germany), at wavelengths of 480, 665, and 750 nm for Chl</w:t>
      </w:r>
      <w:r>
        <w:t xml:space="preserve"> </w:t>
      </w:r>
      <w:r>
        <w:rPr>
          <w:iCs/>
          <w:i/>
        </w:rPr>
        <w:t xml:space="preserve">a</w:t>
      </w:r>
      <w:r>
        <w:t xml:space="preserve"> </w:t>
      </w:r>
      <w:r>
        <w:t xml:space="preserve">and Car calculation and at 565, 620, 650, and 750 nm for PE, PC, and APC. The values of individual pigment peaks (nm) from the whole-cell absorbance spectra were obtained by Olis-modernized Cary 14 UV/Vis/NIR with Integrating Sphere upgrade spectrophotometer (On-Line Instrument Systems, Inc., Bogart, GA, USA). For the linear model, the following wavelengths were analyzed: 480 (Car), 565 (PE), 620 (PC), 650 (APC), and 665 (Chl</w:t>
      </w:r>
      <w:r>
        <w:t xml:space="preserve"> </w:t>
      </w:r>
      <w:r>
        <w:rPr>
          <w:iCs/>
          <w:i/>
        </w:rPr>
        <w:t xml:space="preserve">a</w:t>
      </w:r>
      <w:r>
        <w:t xml:space="preserve">) nm.</w:t>
      </w:r>
    </w:p>
    <w:bookmarkEnd w:id="37"/>
    <w:bookmarkStart w:id="38" w:name="estimating-cumulative-diel-par"/>
    <w:p>
      <w:pPr>
        <w:pStyle w:val="Heading2"/>
      </w:pPr>
      <w:r>
        <w:t xml:space="preserve">Estimating cumulative diel PAR</w:t>
      </w:r>
    </w:p>
    <w:p>
      <w:pPr>
        <w:pStyle w:val="FirstParagraph"/>
      </w:pPr>
      <w:r>
        <w:t xml:space="preserve">Based on the length and shape of the photoperiod (sine wave for photoperiod of 8-16 h; square for photoperiod of 24 h) and the given light level, we estimated the value of the cumulative diel PAR. For a photoperiod arranged in the shape of a sine wave we used Eq. (2). For a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8"/>
    <w:bookmarkStart w:id="39" w:name="X5faa373584f5805cc0738ecfbe8a3837d8b55fa"/>
    <w:p>
      <w:pPr>
        <w:pStyle w:val="Heading2"/>
      </w:pPr>
      <w:r>
        <w:t xml:space="preserve">Changes effective absorption cross section of PSII and PSII flux per unit volume</w:t>
      </w:r>
    </w:p>
    <w:p>
      <w:pPr>
        <w:pStyle w:val="FirstParagraph"/>
      </w:pPr>
      <w:r>
        <w:t xml:space="preserve">xxx I really need Doug help here!</w:t>
      </w:r>
    </w:p>
    <w:p>
      <w:pPr>
        <w:pStyle w:val="BodyText"/>
      </w:pPr>
      <w:r>
        <w:t xml:space="preserve">Calculation of the absorption cross section of PSII photochemistry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under ambient light through an iterative curve fit to the saturation phase of an Fast Repetition Rate fluorometry (FRRf) single turnover (ST) measurement of tested picocyanobacteria were obtained using SoliSense laser-induced fluorescence transient (LIFT) fluorometer equipped with a prototype temperature control unit (LIFT-REM, Soliense Inc., New York, USA). PSII flux per unit volume (JV</w:t>
      </w:r>
      <w:r>
        <w:rPr>
          <w:vertAlign w:val="subscript"/>
        </w:rPr>
        <w:t xml:space="preserve">PSII</w:t>
      </w:r>
      <w:r>
        <w:t xml:space="preserve">; xxxx add proper unit) was calculated according to the method proposed by [Campbell?; Oxborough et al., 2012].</w:t>
      </w:r>
    </w:p>
    <w:p>
      <w:pPr>
        <w:pStyle w:val="BodyText"/>
      </w:pPr>
      <w:r>
        <w:t xml:space="preserve">PC-rich and PE-rich picocyanobacteria were measured under diel peak PAR growth light under a blue LED (Ex 445 nm) and orange (Ex 590 nm) excitation. Excitation protocols were used to manipulate the level of photosynthetic activity and chlorophyll fluorescence (ChlF). Flash Power for blue excitation was 60000 and for orange excitation was 14000 µmol photons m</w:t>
      </w:r>
      <w:r>
        <w:rPr>
          <w:vertAlign w:val="superscript"/>
        </w:rPr>
        <w:t xml:space="preserve">−2</w:t>
      </w:r>
      <w:r>
        <w:t xml:space="preserve">s</w:t>
      </w:r>
      <w:r>
        <w:rPr>
          <w:vertAlign w:val="superscript"/>
        </w:rPr>
        <w:t xml:space="preserve">−1</w:t>
      </w:r>
      <w:r>
        <w:t xml:space="preserve">. The intensity of the blue and orange LIFT LED in DC mode and excitation power were calibrated using a quantum sensor (LI-250, LI-COR, Inc.). Data were collected during an rapid light curve (RLC) sequence during which light intensity was increased from 0 to 320 µmol photons m</w:t>
      </w:r>
      <w:r>
        <w:rPr>
          <w:vertAlign w:val="superscript"/>
        </w:rPr>
        <w:t xml:space="preserve">−2</w:t>
      </w:r>
      <w:r>
        <w:t xml:space="preserve">s</w:t>
      </w:r>
      <w:r>
        <w:rPr>
          <w:vertAlign w:val="superscript"/>
        </w:rPr>
        <w:t xml:space="preserve">−1</w:t>
      </w:r>
      <w:r>
        <w:t xml:space="preserve"> </w:t>
      </w:r>
      <w:r>
        <w:t xml:space="preserve">and then decreased from 320 to 0 µmol photons m</w:t>
      </w:r>
      <w:r>
        <w:rPr>
          <w:vertAlign w:val="superscript"/>
        </w:rPr>
        <w:t xml:space="preserve">−2</w:t>
      </w:r>
      <w:r>
        <w:t xml:space="preserve">s</w:t>
      </w:r>
      <w:r>
        <w:rPr>
          <w:vertAlign w:val="superscript"/>
        </w:rPr>
        <w:t xml:space="preserve">−1</w:t>
      </w:r>
      <w:r>
        <w:t xml:space="preserve"> </w:t>
      </w:r>
      <w:r>
        <w:t xml:space="preserve">with a 1-s pause in darkness between measurements. Acquisitions were made at 10-s intervals. [Campbell and Kolber?; Kolber et al., 2005; Oxborough et al., 2012].</w:t>
      </w:r>
    </w:p>
    <w:p>
      <w:pPr>
        <w:pStyle w:val="BodyText"/>
      </w:pPr>
      <w:r>
        <w:t xml:space="preserve">Kolber, Z., Klimov, D., Ananyev, G., Rascher, U., Berry, J., &amp; Osmond, B. (2005). Measuring photosynthetic parameters at a distance: laser induced fluorescence transient (LIFT) method for remote measurements of photosynthesis in terrestrial vegetation. Photosynthesis research, 84, 121-129.</w:t>
      </w:r>
    </w:p>
    <w:p>
      <w:pPr>
        <w:pStyle w:val="BodyText"/>
      </w:pPr>
      <w:r>
        <w:t xml:space="preserve">Oxborough, K., Moore, C. M., Suggett, D. J., Lawson, T., Chan, H. G., &amp; Geider, R. J. (2012). Direct estimation of functional PSII reaction center concentration and PSII electron flux on a volume basis: a new approach to the analysis of Fast Repetition Rate fluorometry (FRRf) data. Limnology and Oceanography: Methods, 10(3), 142-154.</w:t>
      </w:r>
    </w:p>
    <w:p>
      <w:pPr>
        <w:pStyle w:val="BodyText"/>
      </w:pPr>
      <w:r>
        <w:t xml:space="preserve">Keller, B., Vass, I., Matsubara, S., Paul, K., Jedmowski, C., Pieruschka, R., … &amp; Muller, O. (2019). Maximum fluorescence and electron transport kinetics determined by light-induced fluorescence transients (LIFT) for photosynthesis phenotyping. Photosynthesis Research, 140, 221-233.</w:t>
      </w:r>
    </w:p>
    <w:bookmarkEnd w:id="39"/>
    <w:bookmarkStart w:id="40" w:name="statistical-analysis"/>
    <w:p>
      <w:pPr>
        <w:pStyle w:val="Heading2"/>
      </w:pPr>
      <w:r>
        <w:t xml:space="preserve">Statistical analysis</w:t>
      </w:r>
    </w:p>
    <w:p>
      <w:pPr>
        <w:pStyle w:val="FirstParagraph"/>
      </w:pPr>
      <w:r>
        <w:t xml:space="preserve">All analysis of obtained results was conducted using R version 4.3.0</w:t>
      </w:r>
      <w:r>
        <w:t xml:space="preserve"> </w:t>
      </w:r>
      <w:r>
        <w:t xml:space="preserve">[26]</w:t>
      </w:r>
      <w:r>
        <w:t xml:space="preserve"> </w:t>
      </w:r>
      <w:r>
        <w:t xml:space="preserve">running under RStudio</w:t>
      </w:r>
      <w:r>
        <w:t xml:space="preserve"> </w:t>
      </w:r>
      <w:r>
        <w:t xml:space="preserve">[27]</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 t-test. The</w:t>
      </w:r>
      <w:r>
        <w:t xml:space="preserve"> </w:t>
      </w:r>
      <w:r>
        <w:rPr>
          <w:iCs/>
          <w:i/>
        </w:rPr>
        <w:t xml:space="preserve">SSasymp()</w:t>
      </w:r>
      <w:r>
        <w:t xml:space="preserve"> </w:t>
      </w:r>
      <w:r>
        <w:t xml:space="preserve">function (Self-Starting Nls Asymptotic Regression Model) was used to perform a single phase exponential decay fit model and to estimate exponential decay parameters (y0, the starting value; yf, the value at infinite times;</w:t>
      </w:r>
      <w:r>
        <w:t xml:space="preserve"> </w:t>
      </w:r>
      <m:oMath>
        <m:r>
          <m:t>λ</m:t>
        </m:r>
      </m:oMath>
      <w:r>
        <w:t xml:space="preserve">, exponential decay constant) [citationxxx Serway et al., 1989]. A modified Levenberg-Marquardt fitting algorithm</w:t>
      </w:r>
      <w:r>
        <w:t xml:space="preserve"> </w:t>
      </w:r>
      <w:r>
        <w:t xml:space="preserve">[</w:t>
      </w:r>
      <w:r>
        <w:rPr>
          <w:bCs/>
          <w:b/>
        </w:rPr>
        <w:t xml:space="preserve">minpack.lm?</w:t>
      </w:r>
      <w:r>
        <w:t xml:space="preserve">]</w:t>
      </w:r>
      <w:r>
        <w:t xml:space="preserve"> </w:t>
      </w:r>
      <w:r>
        <w:t xml:space="preserve">was used for estimating logistic fits of chlorophyll proxy OD</w:t>
      </w:r>
      <w:r>
        <w:rPr>
          <w:vertAlign w:val="subscript"/>
        </w:rPr>
        <w:t xml:space="preserve">680</w:t>
      </w:r>
      <w:r>
        <w:t xml:space="preserve">-OD</w:t>
      </w:r>
      <w:r>
        <w:rPr>
          <w:vertAlign w:val="subscript"/>
        </w:rPr>
        <w:t xml:space="preserve">720</w:t>
      </w:r>
      <w:r>
        <w:t xml:space="preserve"> </w:t>
      </w:r>
      <w:r>
        <w:t xml:space="preserve">vs. elapsed time for each combination of strain, photoperiod, and peak PAR. We also used</w:t>
      </w:r>
      <w:r>
        <w:t xml:space="preserve"> </w:t>
      </w:r>
      <w:r>
        <w:rPr>
          <w:iCs/>
          <w:i/>
        </w:rPr>
        <w:t xml:space="preserve">nlsLM()</w:t>
      </w:r>
      <w:r>
        <w:t xml:space="preserve"> </w:t>
      </w:r>
      <w:r>
        <w:t xml:space="preserve">function</w:t>
      </w:r>
      <w:r>
        <w:t xml:space="preserve"> </w:t>
      </w:r>
      <w:r>
        <w:t xml:space="preserve">[</w:t>
      </w:r>
      <w:r>
        <w:rPr>
          <w:bCs/>
          <w:b/>
        </w:rPr>
        <w:t xml:space="preserve">minpack.lm?</w:t>
      </w:r>
      <w:r>
        <w:t xml:space="preserve">]</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 Harrison and Platt [citation xxx 1986].</w:t>
      </w:r>
    </w:p>
    <w:p>
      <w:pPr>
        <w:pStyle w:val="BodyText"/>
      </w:pPr>
      <w:r>
        <w:t xml:space="preserve">Linear regression, coefficient of determination (R square), Pearson correlation coefficients (R), and p-value was used to calculate the number of cells (N mL</w:t>
      </w:r>
      <w:r>
        <w:rPr>
          <w:vertAlign w:val="superscript"/>
        </w:rPr>
        <w:t xml:space="preserve">−1</w:t>
      </w:r>
      <w:r>
        <w:t xml:space="preserve">) and pigment content (µg mL</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(Table S1-S2 in Supplemental material).</w:t>
      </w:r>
    </w:p>
    <w:p>
      <w:pPr>
        <w:pStyle w:val="BodyText"/>
      </w:pPr>
      <w:r>
        <w:t xml:space="preserve">We performed three-way factorial ANOVA of chlorophyll specific exponential growth rate, estimated from logistic fits of chlorophyll proxy OD</w:t>
      </w:r>
      <w:r>
        <w:rPr>
          <w:vertAlign w:val="subscript"/>
        </w:rPr>
        <w:t xml:space="preserve">680</w:t>
      </w:r>
      <w:r>
        <w:t xml:space="preserve">-OD</w:t>
      </w:r>
      <w:r>
        <w:rPr>
          <w:vertAlign w:val="subscript"/>
        </w:rPr>
        <w:t xml:space="preserve">720</w:t>
      </w:r>
      <w:r>
        <w:t xml:space="preserve">, PUR/PAR ratio, total Phyco/Chl</w:t>
      </w:r>
      <w:r>
        <w:t xml:space="preserve"> </w:t>
      </w:r>
      <w:r>
        <w:rPr>
          <w:iCs/>
          <w:i/>
        </w:rPr>
        <w:t xml:space="preserve">a</w:t>
      </w:r>
      <w:r>
        <w:t xml:space="preserve"> </w:t>
      </w:r>
      <w:r>
        <w:t xml:space="preserve">ratio,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or under Ex590 nm (orange) excitation in relation to the cumulative diel photon dose (µmol photons m</w:t>
      </w:r>
      <w:r>
        <w:rPr>
          <w:vertAlign w:val="superscript"/>
        </w:rPr>
        <w:t xml:space="preserve">−2</w:t>
      </w:r>
      <w:r>
        <w:t xml:space="preserve">d</w:t>
      </w:r>
      <w:r>
        <w:rPr>
          <w:vertAlign w:val="superscript"/>
        </w:rPr>
        <w:t xml:space="preserve">−1</w:t>
      </w:r>
      <w:r>
        <w:t xml:space="preserve">) or in relation to the total Phyco/Chl</w:t>
      </w:r>
      <w:r>
        <w:t xml:space="preserve"> </w:t>
      </w:r>
      <w:r>
        <w:rPr>
          <w:iCs/>
          <w:i/>
        </w:rPr>
        <w:t xml:space="preserve">a</w:t>
      </w:r>
      <w:r>
        <w:t xml:space="preserve"> </w:t>
      </w:r>
      <w:r>
        <w:t xml:space="preserve">ratio (Table S3, S6, S8, S10, S12, S14, S16 in Supplemental material).</w:t>
      </w:r>
    </w:p>
    <w:p>
      <w:pPr>
        <w:pStyle w:val="BodyText"/>
      </w:pPr>
      <w:r>
        <w:t xml:space="preserve">To examine statistical differences between models, we performed one-way ANOVA of a three parameter model [xxx Harrison and Platt, 1986] from pooled data and data fit across different photoperiods (8, 12, 16, or 24) or data fit across different peak PAR (30, 90, 180, 300, 600 together with 900) from chlorophyll specific exponential growth rate,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(Table S4-S5 in Supplemental material). One-way ANOVA was also used to examine statistical differences between single phase exponential decay fit model of pooled data across different strains for a given phase of growth and across different phase of growth for a given strain from PUR/PAR ratio, total Phyco/Chl</w:t>
      </w:r>
      <w:r>
        <w:t xml:space="preserve"> </w:t>
      </w:r>
      <w:r>
        <w:rPr>
          <w:iCs/>
          <w:i/>
        </w:rPr>
        <w:t xml:space="preserve">a</w:t>
      </w:r>
      <w:r>
        <w:t xml:space="preserve"> </w:t>
      </w:r>
      <w:r>
        <w:t xml:space="preserve">ratio,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Ex590 nm (orange) excitation in relation to the cumulative diel photon dose (µmol photons m</w:t>
      </w:r>
      <w:r>
        <w:rPr>
          <w:vertAlign w:val="superscript"/>
        </w:rPr>
        <w:t xml:space="preserve">−2</w:t>
      </w:r>
      <w:r>
        <w:t xml:space="preserve">d</w:t>
      </w:r>
      <w:r>
        <w:rPr>
          <w:vertAlign w:val="superscript"/>
        </w:rPr>
        <w:t xml:space="preserve">−1</w:t>
      </w:r>
      <w:r>
        <w:t xml:space="preserve">) (Table S7, S9, S13 in Supplemental material).</w:t>
      </w:r>
    </w:p>
    <w:p>
      <w:pPr>
        <w:pStyle w:val="BodyText"/>
      </w:pPr>
      <w:r>
        <w:t xml:space="preserve">T-test of linear fit model of pooled data across different strains for a given phase of growth and across different phase of growth for a given strain from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in relation to the cumulative diel photon dose (µmol photons m</w:t>
      </w:r>
      <w:r>
        <w:rPr>
          <w:vertAlign w:val="superscript"/>
        </w:rPr>
        <w:t xml:space="preserve">−2</w:t>
      </w:r>
      <w:r>
        <w:t xml:space="preserve">d</w:t>
      </w:r>
      <w:r>
        <w:rPr>
          <w:vertAlign w:val="superscript"/>
        </w:rPr>
        <w:t xml:space="preserve">−1</w:t>
      </w:r>
      <w:r>
        <w:t xml:space="preserve">) or in relation to the total Phyco/Chl</w:t>
      </w:r>
      <w:r>
        <w:t xml:space="preserve"> </w:t>
      </w:r>
      <w:r>
        <w:rPr>
          <w:iCs/>
          <w:i/>
        </w:rPr>
        <w:t xml:space="preserve">a</w:t>
      </w:r>
      <w:r>
        <w:t xml:space="preserve"> </w:t>
      </w:r>
      <w:r>
        <w:t xml:space="preserve">ratio, as well as from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Ex590 nm (orange) excitation in relation to the total Phyco/Chl</w:t>
      </w:r>
      <w:r>
        <w:t xml:space="preserve"> </w:t>
      </w:r>
      <w:r>
        <w:rPr>
          <w:iCs/>
          <w:i/>
        </w:rPr>
        <w:t xml:space="preserve">a</w:t>
      </w:r>
      <w:r>
        <w:t xml:space="preserve"> </w:t>
      </w:r>
      <w:r>
        <w:t xml:space="preserve">ratio was performed (Table S11, S15, S17 in Supplemental material).</w:t>
      </w:r>
    </w:p>
    <w:p>
      <w:pPr>
        <w:pStyle w:val="BodyText"/>
      </w:pPr>
      <w:r>
        <w:t xml:space="preserve">Statistical differences for all analyzes were determined at the level of significance</w:t>
      </w:r>
      <w:r>
        <w:t xml:space="preserve"> </w:t>
      </w:r>
      <m:oMath>
        <m:r>
          <m:t>α</m:t>
        </m:r>
      </m:oMath>
      <w:r>
        <w:t xml:space="preserve"> </w:t>
      </w:r>
      <w:r>
        <w:t xml:space="preserve">= 0.05. Manuscript was prepared as a Rmarkdown document</w:t>
      </w:r>
      <w:r>
        <w:t xml:space="preserve"> </w:t>
      </w:r>
      <w:r>
        <w:t xml:space="preserve">[28]</w:t>
      </w:r>
      <w:r>
        <w:t xml:space="preserve">. Figures were plotted using</w:t>
      </w:r>
      <w:r>
        <w:t xml:space="preserve"> </w:t>
      </w:r>
      <w:r>
        <w:t xml:space="preserve">“</w:t>
      </w:r>
      <w:r>
        <w:t xml:space="preserve">ggplot</w:t>
      </w:r>
      <w:r>
        <w:t xml:space="preserve">”</w:t>
      </w:r>
      <w:r>
        <w:t xml:space="preserve"> </w:t>
      </w:r>
      <w:r>
        <w:t xml:space="preserve">[29]</w:t>
      </w:r>
      <w:r>
        <w:t xml:space="preserve"> </w:t>
      </w:r>
      <w:r>
        <w:t xml:space="preserve">R package.</w:t>
      </w:r>
    </w:p>
    <w:p>
      <w:pPr>
        <w:pStyle w:val="BodyText"/>
      </w:pPr>
      <w:r>
        <w:t xml:space="preserve">Serway, Raymond A.; Moses, Clement J.; Moyer, Curt A. (1989), Modern Physics, Fort Worth: Harcourt Brace Jovanovich, ISBN 0-03-004844-3</w:t>
      </w:r>
    </w:p>
    <w:p>
      <w:pPr>
        <w:pStyle w:val="BodyText"/>
      </w:pPr>
      <w:r>
        <w:t xml:space="preserve">Harrison, W. G., &amp; Platt, T. (1986). Photosynthesis-irradiance relationships in polar and temperate phytoplankton populations. Polar biology, 5, 153-164.</w:t>
      </w:r>
    </w:p>
    <w:p>
      <w:pPr>
        <w:pStyle w:val="BodyText"/>
      </w:pPr>
      <w:r>
        <w:t xml:space="preserve">Platt, T. G. C. L., Gallegos, C. L., &amp; Harrison, W. G. (1980). Photoinhibition of photosynthesis in natural assemblages of marine phytoplankton.</w:t>
      </w:r>
    </w:p>
    <w:bookmarkEnd w:id="40"/>
    <w:bookmarkEnd w:id="41"/>
    <w:bookmarkStart w:id="61" w:name="results"/>
    <w:p>
      <w:pPr>
        <w:pStyle w:val="Heading1"/>
      </w:pPr>
      <w:r>
        <w:t xml:space="preserve">Results</w:t>
      </w:r>
    </w:p>
    <w:bookmarkStart w:id="46" w:name="X3c4de26526443418ca9ef70653fbb6a4bace88d"/>
    <w:p>
      <w:pPr>
        <w:pStyle w:val="Heading2"/>
      </w:pPr>
      <w:r>
        <w:t xml:space="preserve">Changes in chlorophyll specific exponential growth rate</w:t>
      </w:r>
    </w:p>
    <w:p>
      <w:pPr>
        <w:pStyle w:val="FirstParagraph"/>
      </w:pPr>
      <w:r>
        <w:t xml:space="preserve">Research Question:</w:t>
      </w:r>
      <w:r>
        <w:t xml:space="preserve"> </w:t>
      </w:r>
      <w:r>
        <w:t xml:space="preserve">Does cumulative diel photon dose consistently explain achieved growth rates across a matrix of photoperiods and peak PAR?</w:t>
      </w:r>
    </w:p>
    <w:p>
      <w:pPr>
        <w:pStyle w:val="BodyText"/>
      </w:pPr>
      <w:r>
        <w:t xml:space="preserve">Test: Do strains show distinct growth responses to cumulative diel photon dose, depending upon photoperiod?</w:t>
      </w:r>
      <w:r>
        <w:t xml:space="preserve"> </w:t>
      </w:r>
      <w:r>
        <w:t xml:space="preserve">Yes. Every strain shows photoperiod-specific responses to cumulative diel photon dose that differ from a single light response model fit to the pooled data from a strain.</w:t>
      </w:r>
    </w:p>
    <w:p>
      <w:pPr>
        <w:pStyle w:val="BodyText"/>
      </w:pPr>
      <w:r>
        <w:t xml:space="preserve">Test: Do strains show distinct growth responses to cumulative diel photon dose, depending upon peak PAR?</w:t>
      </w:r>
      <w:r>
        <w:t xml:space="preserve"> </w:t>
      </w:r>
      <w:r>
        <w:t xml:space="preserve">Yes. In supplmental data, strains generally show peak-PAR specific responses to cumulative diel photon dose, that differ from a single light response model fit to the pooled data from a strain. Exceptions are that for strains 77 and 48 peak PAR of 600 or 900 µmol photons m</w:t>
      </w:r>
      <w:r>
        <w:rPr>
          <w:vertAlign w:val="superscript"/>
        </w:rPr>
        <w:t xml:space="preserve">−2</w:t>
      </w:r>
      <w:r>
        <w:t xml:space="preserve">d</w:t>
      </w:r>
      <w:r>
        <w:rPr>
          <w:vertAlign w:val="superscript"/>
        </w:rPr>
        <w:t xml:space="preserve">−1</w:t>
      </w:r>
      <w:r>
        <w:t xml:space="preserve"> </w:t>
      </w:r>
      <w:r>
        <w:t xml:space="preserve">are not significantly different from the pooled data model. A caveat to this findings is that cumulative diel photon dose is, of course, a product of photoperiod and PAR, so the highest levels of cumulative photon dose are only achieved under the 600 or 900 µmol photons m</w:t>
      </w:r>
      <w:r>
        <w:rPr>
          <w:vertAlign w:val="superscript"/>
        </w:rPr>
        <w:t xml:space="preserve">−2</w:t>
      </w:r>
      <w:r>
        <w:t xml:space="preserve">d</w:t>
      </w:r>
      <w:r>
        <w:rPr>
          <w:vertAlign w:val="superscript"/>
        </w:rPr>
        <w:t xml:space="preserve">−1</w:t>
      </w:r>
      <w:r>
        <w:t xml:space="preserve">.</w:t>
      </w:r>
    </w:p>
    <w:p>
      <w:pPr>
        <w:pStyle w:val="BodyText"/>
      </w:pPr>
      <w:r>
        <w:t xml:space="preserve">All four strains show saturation of growth rate under increasing cumulative diel PAR, but the achieved estimates of µ</w:t>
      </w:r>
      <w:r>
        <w:rPr>
          <w:vertAlign w:val="subscript"/>
        </w:rPr>
        <w:t xml:space="preserve">max</w:t>
      </w:r>
      <w:r>
        <w:t xml:space="preserve"> </w:t>
      </w:r>
      <w:r>
        <w:t xml:space="preserve">vary depending upon photoperiod and peak diel PAR. Plots of growth rates vs. cumulative diel PUR, estimated for exponential phase cultures, show similar patterns (Supplemental).</w:t>
      </w:r>
    </w:p>
    <w:p>
      <w:pPr>
        <w:pStyle w:val="CaptionedFigure"/>
      </w:pPr>
      <w:r>
        <w:drawing>
          <wp:inline>
            <wp:extent cx="5943600" cy="7641771"/>
            <wp:effectExtent b="0" l="0" r="0" t="0"/>
            <wp:docPr descr="Figure 3: Chlorophyll specific exponential growth rates (d−1) vs. cumulative diel photon dose (µmol photons m−2d−1). Growth rates (+/- SE falling within symbols) were estimated from logistic fits of chlorophyll proxy OD680-OD720 vs. elapsed time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significantly different (ANOVA, p &lt; 0.05) from the fit of pooled data." title="" id="43" name="Picture"/>
            <a:graphic>
              <a:graphicData uri="http://schemas.openxmlformats.org/drawingml/2006/picture">
                <pic:pic>
                  <pic:nvPicPr>
                    <pic:cNvPr descr="../Output/Figures/Fig_GrowthRate_Photoperiod.png" id="44" name="Picture"/>
                    <pic:cNvPicPr>
                      <a:picLocks noChangeArrowheads="1" noChangeAspect="1"/>
                    </pic:cNvPicPr>
                  </pic:nvPicPr>
                  <pic:blipFill>
                    <a:blip r:embed="rId4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5" w:name="fig:GrowthRatePhotoperiod"/>
      <w:bookmarkEnd w:id="45"/>
      <w:r>
        <w:t xml:space="preserve">Figure 3:</w:t>
      </w:r>
      <w:r>
        <w:t xml:space="preserve"> </w:t>
      </w:r>
      <w:r>
        <w:rPr>
          <w:bCs/>
          <w:b/>
        </w:rPr>
        <w:t xml:space="preserve">Chlorophyll specific exponential growth rates (d</w:t>
      </w:r>
      <w:r>
        <w:rPr>
          <w:vertAlign w:val="superscript"/>
          <w:bCs/>
          <w:b/>
        </w:rPr>
        <w:t xml:space="preserve">−1</w:t>
      </w:r>
      <w:r>
        <w:rPr>
          <w:bCs/>
          <w:b/>
        </w:rPr>
        <w:t xml:space="preserve">)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significantly different (ANOVA,</w:t>
      </w:r>
      <w:r>
        <w:t xml:space="preserve"> </w:t>
      </w:r>
      <w:r>
        <w:rPr>
          <w:iCs/>
          <w:i/>
        </w:rPr>
        <w:t xml:space="preserve">p</w:t>
      </w:r>
      <w:r>
        <w:t xml:space="preserve"> </w:t>
      </w:r>
      <w:r>
        <w:t xml:space="preserve">&lt; 0.05) from the fit of pooled data.</w:t>
      </w:r>
    </w:p>
    <w:bookmarkEnd w:id="46"/>
    <w:bookmarkStart w:id="51" w:name="changes-of-purpar-ratio"/>
    <w:p>
      <w:pPr>
        <w:pStyle w:val="Heading2"/>
      </w:pPr>
      <w:r>
        <w:t xml:space="preserve">Changes of PUR/PAR ratio</w:t>
      </w:r>
    </w:p>
    <w:p>
      <w:pPr>
        <w:pStyle w:val="FirstParagraph"/>
      </w:pPr>
      <w:r>
        <w:t xml:space="preserve">Research Question:</w:t>
      </w:r>
      <w:r>
        <w:t xml:space="preserve"> </w:t>
      </w:r>
      <w:r>
        <w:t xml:space="preserve">Do strains show consistent patterns of light capture efficacy (PUR/PAR ratio) across cumulative diel photon doses?</w:t>
      </w:r>
    </w:p>
    <w:p>
      <w:pPr>
        <w:pStyle w:val="BodyText"/>
      </w:pPr>
      <w:r>
        <w:t xml:space="preserve">Yes.</w:t>
      </w:r>
      <w:r>
        <w:t xml:space="preserve"> </w:t>
      </w:r>
      <w:r>
        <w:t xml:space="preserve">The ratio of PUR/PAR shows a consistent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and even disappears.</w:t>
      </w:r>
      <w:r>
        <w:t xml:space="preserve"> </w:t>
      </w:r>
      <w:r>
        <w:t xml:space="preserve">The PE-rich strains show a much higher PUR/PAR ratio under low cumulative diel photon dose, but decay towards a plateau close to the PC-rich strains as cumulative diel photon dose increases.</w:t>
      </w:r>
    </w:p>
    <w:p>
      <w:pPr>
        <w:pStyle w:val="CaptionedFigure"/>
      </w:pPr>
      <w:r>
        <w:drawing>
          <wp:inline>
            <wp:extent cx="5943600" cy="7641771"/>
            <wp:effectExtent b="0" l="0" r="0" t="0"/>
            <wp:docPr descr="Figure 4: Changes of PUR/PAR ratio vs. cumulative diel photon dose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with fit parameters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 p &lt; 0.05)." title="" id="48" name="Picture"/>
            <a:graphic>
              <a:graphicData uri="http://schemas.openxmlformats.org/drawingml/2006/picture">
                <pic:pic>
                  <pic:nvPicPr>
                    <pic:cNvPr descr="../Output/Figures/Fig_PURPARRatio.png" id="49" name="Picture"/>
                    <pic:cNvPicPr>
                      <a:picLocks noChangeArrowheads="1" noChangeAspect="1"/>
                    </pic:cNvPicPr>
                  </pic:nvPicPr>
                  <pic:blipFill>
                    <a:blip r:embed="rId4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0" w:name="fig:PURPARRatio"/>
      <w:bookmarkEnd w:id="50"/>
      <w:r>
        <w:t xml:space="preserve">Figure 4:</w:t>
      </w:r>
      <w:r>
        <w:t xml:space="preserve"> </w:t>
      </w:r>
      <w:r>
        <w:rPr>
          <w:bCs/>
          <w:b/>
        </w:rPr>
        <w:t xml:space="preserve">Changes of PUR/PAR 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with fit parameters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w:t>
      </w:r>
      <w:r>
        <w:t xml:space="preserve"> </w:t>
      </w:r>
      <w:r>
        <w:rPr>
          <w:iCs/>
          <w:i/>
        </w:rPr>
        <w:t xml:space="preserve">p</w:t>
      </w:r>
      <w:r>
        <w:t xml:space="preserve"> </w:t>
      </w:r>
      <w:r>
        <w:t xml:space="preserve">&lt; 0.05).</w:t>
      </w:r>
    </w:p>
    <w:bookmarkEnd w:id="51"/>
    <w:bookmarkStart w:id="60" w:name="X07be7ca315362af814ea6c377136ba89340184d"/>
    <w:p>
      <w:pPr>
        <w:pStyle w:val="Heading2"/>
      </w:pPr>
      <w:r>
        <w:t xml:space="preserve">Changes effective absorption cross section of PSII</w:t>
      </w:r>
    </w:p>
    <w:p>
      <w:pPr>
        <w:pStyle w:val="FirstParagraph"/>
      </w:pPr>
      <w:r>
        <w:t xml:space="preserve">Research Question:</w:t>
      </w:r>
      <w:r>
        <w:t xml:space="preserve"> </w:t>
      </w:r>
      <w:r>
        <w:t xml:space="preserve">Do strains show consistent patterns of effective absorption cross section for PSII photochemistry across cumulative diel photon doses?</w:t>
      </w:r>
    </w:p>
    <w:p>
      <w:pPr>
        <w:pStyle w:val="BodyText"/>
      </w:pPr>
      <w:r>
        <w:t xml:space="preserve">Yes.</w:t>
      </w:r>
      <w:r>
        <w:t xml:space="preserve"> </w:t>
      </w:r>
      <w:r>
        <w:t xml:space="preserve">The</w:t>
      </w:r>
      <w:r>
        <w:t xml:space="preserve"> </w:t>
      </w:r>
      <w:r>
        <w:t xml:space="preserve">3C3</w:t>
      </w:r>
      <w:r>
        <w:rPr>
          <w:vertAlign w:val="subscript"/>
        </w:rPr>
        <w:t xml:space="preserve">PSII</w:t>
      </w:r>
      <w:r>
        <w:t xml:space="preserve">’ shows a consistent, sharp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but persists.</w:t>
      </w:r>
      <w:r>
        <w:t xml:space="preserve"> </w:t>
      </w:r>
      <w:r>
        <w:t xml:space="preserve">The PE-rich strains show a much higher</w:t>
      </w:r>
      <w:r>
        <w:t xml:space="preserve"> </w:t>
      </w:r>
      <w:r>
        <w:t xml:space="preserve">3C3</w:t>
      </w:r>
      <w:r>
        <w:rPr>
          <w:vertAlign w:val="subscript"/>
        </w:rPr>
        <w:t xml:space="preserve">PSII</w:t>
      </w:r>
      <w:r>
        <w:t xml:space="preserve">’ under low cumulative diel photon dose, and remain higher than the PC-rich strains even as cumulative diel photon dose increases.</w:t>
      </w:r>
    </w:p>
    <w:p>
      <w:pPr>
        <w:pStyle w:val="CaptionedFigure"/>
      </w:pPr>
      <w:r>
        <w:drawing>
          <wp:inline>
            <wp:extent cx="5943600" cy="7641771"/>
            <wp:effectExtent b="0" l="0" r="0" t="0"/>
            <wp:docPr descr="Figure 5: Effective absorption cross section of PSII (σPSII‘; nm2 quanta-1) measured under diel peak PAR growth light vs. cumulative diel photon dose (µmol photons m−2d−1). Effective absorption cross section of PSII (σPSII’; nm2 quanta-1) was estimated using FRRf induction curves with excitation of phycobilisomes using Ex590nm (orange) excitation,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 p &lt; 0.05)." title="" id="53" name="Picture"/>
            <a:graphic>
              <a:graphicData uri="http://schemas.openxmlformats.org/drawingml/2006/picture">
                <pic:pic>
                  <pic:nvPicPr>
                    <pic:cNvPr descr="../Output/Figures/Fig_Sigma590.png" id="54" name="Picture"/>
                    <pic:cNvPicPr>
                      <a:picLocks noChangeArrowheads="1" noChangeAspect="1"/>
                    </pic:cNvPicPr>
                  </pic:nvPicPr>
                  <pic:blipFill>
                    <a:blip r:embed="rId5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5" w:name="fig:Sigma590"/>
      <w:bookmarkEnd w:id="55"/>
      <w:r>
        <w:t xml:space="preserve">Figure 5:</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using Ex</w:t>
      </w:r>
      <w:r>
        <w:rPr>
          <w:vertAlign w:val="subscript"/>
        </w:rPr>
        <w:t xml:space="preserve">590nm</w:t>
      </w:r>
      <w:r>
        <w:t xml:space="preserve"> </w:t>
      </w:r>
      <w:r>
        <w:t xml:space="preserve">(orange) excitation,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Research Question:</w:t>
      </w:r>
      <w:r>
        <w:t xml:space="preserve"> </w:t>
      </w:r>
      <w:r>
        <w:t xml:space="preserve">Does</w:t>
      </w:r>
      <w:r>
        <w:t xml:space="preserve"> </w:t>
      </w:r>
      <w:r>
        <w:t xml:space="preserve">3C3</w:t>
      </w:r>
      <w:r>
        <w:rPr>
          <w:vertAlign w:val="subscript"/>
        </w:rPr>
        <w:t xml:space="preserve">PSII</w:t>
      </w:r>
      <w:r>
        <w:t xml:space="preserve">’ show a consistent relation to phycobilisome:chlorophyll ratio?</w:t>
      </w:r>
      <w:r>
        <w:t xml:space="preserve"> </w:t>
      </w:r>
      <w:r>
        <w:t xml:space="preserve">The</w:t>
      </w:r>
      <w:r>
        <w:t xml:space="preserve"> </w:t>
      </w:r>
      <w:r>
        <w:t xml:space="preserve">3C3</w:t>
      </w:r>
      <w:r>
        <w:rPr>
          <w:vertAlign w:val="subscript"/>
        </w:rPr>
        <w:t xml:space="preserve">PSII</w:t>
      </w:r>
      <w:r>
        <w:t xml:space="preserve">’ excited through chlorophyll absorbance at 445 nm was consistently small across strains and growth conditions, since in cyanobacteria the number of chlorophyll serving PSII is nearly fixed (CITATIONS DOUG). For</w:t>
      </w:r>
      <w:r>
        <w:t xml:space="preserve"> </w:t>
      </w:r>
      <w:r>
        <w:t xml:space="preserve">3C3</w:t>
      </w:r>
      <w:r>
        <w:rPr>
          <w:vertAlign w:val="subscript"/>
        </w:rPr>
        <w:t xml:space="preserve">PSII</w:t>
      </w:r>
      <w:r>
        <w:t xml:space="preserve">’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w:r>
        <w:t xml:space="preserve">3C3</w:t>
      </w:r>
      <w:r>
        <w:rPr>
          <w:vertAlign w:val="subscript"/>
        </w:rPr>
        <w:t xml:space="preserve">PSII</w:t>
      </w:r>
      <w:r>
        <w:t xml:space="preserve">‘</w:t>
      </w:r>
      <w:r>
        <w:t xml:space="preserve">, beyond pigment composition. Under pre-stationary phase the plots of</w:t>
      </w:r>
      <w:r>
        <w:t xml:space="preserve"> </w:t>
      </w:r>
      <w:r>
        <w:t xml:space="preserve">3C3</w:t>
      </w:r>
      <w:r>
        <w:rPr>
          <w:vertAlign w:val="subscript"/>
        </w:rPr>
        <w:t xml:space="preserve">PSII</w:t>
      </w:r>
      <w:r>
        <w:t xml:space="preserve">’</w:t>
      </w:r>
      <w:r>
        <w:t xml:space="preserve"> </w:t>
      </w:r>
      <w:r>
        <w:t xml:space="preserve">vs. phycobilin:chlorophyll show much less scatter, suggesting an increase in reliance upon compositional regulation to control light delivery to PSII, as opposed to shorter term regulation.</w:t>
      </w:r>
    </w:p>
    <w:p>
      <w:pPr>
        <w:pStyle w:val="BodyText"/>
      </w:pPr>
      <w:r>
        <w:t xml:space="preserve">The linear fits also vary significantly among strains.</w:t>
      </w:r>
    </w:p>
    <w:p>
      <w:pPr>
        <w:pStyle w:val="CaptionedFigure"/>
      </w:pPr>
      <w:r>
        <w:drawing>
          <wp:inline>
            <wp:extent cx="5943600" cy="7641771"/>
            <wp:effectExtent b="0" l="0" r="0" t="0"/>
            <wp:docPr descr="Figure 6: Changes of effective absorption cross section of PSII (σPSII‘; nm2 quanta-1) measured under diel peak PAR growth light under Ex590 nm (orange) excitation vs. total Phyco/Chl a ratio.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 p &lt; 0.05)." title="" id="57" name="Picture"/>
            <a:graphic>
              <a:graphicData uri="http://schemas.openxmlformats.org/drawingml/2006/picture">
                <pic:pic>
                  <pic:nvPicPr>
                    <pic:cNvPr descr="../Output/Figures/Fig_SigmaPig590.png" id="58" name="Picture"/>
                    <pic:cNvPicPr>
                      <a:picLocks noChangeArrowheads="1" noChangeAspect="1"/>
                    </pic:cNvPicPr>
                  </pic:nvPicPr>
                  <pic:blipFill>
                    <a:blip r:embed="rId5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9" w:name="fig:SigmaPig590"/>
      <w:bookmarkEnd w:id="59"/>
      <w:r>
        <w:t xml:space="preserve">Figure 6:</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Ex590 nm (orange) excitation vs. total Phyco/Chl</w:t>
      </w:r>
      <w:r>
        <w:rPr>
          <w:bCs/>
          <w:b/>
        </w:rPr>
        <w:t xml:space="preserve"> </w:t>
      </w:r>
      <w:r>
        <w:rPr>
          <w:iCs/>
          <w:i/>
          <w:bCs/>
          <w:b/>
        </w:rPr>
        <w:t xml:space="preserve">a</w:t>
      </w:r>
      <w:r>
        <w:rPr>
          <w:bCs/>
          <w:b/>
        </w:rPr>
        <w:t xml:space="preserve"> </w:t>
      </w:r>
      <w:r>
        <w:rPr>
          <w:bCs/>
          <w:b/>
        </w:rPr>
        <w:t xml:space="preserve">ratio.</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w:t>
      </w:r>
      <w:r>
        <w:t xml:space="preserve"> </w:t>
      </w:r>
      <w:r>
        <w:rPr>
          <w:iCs/>
          <w:i/>
        </w:rPr>
        <w:t xml:space="preserve">p</w:t>
      </w:r>
      <w:r>
        <w:t xml:space="preserve"> </w:t>
      </w:r>
      <w:r>
        <w:t xml:space="preserve">&lt; 0.05).</w:t>
      </w:r>
    </w:p>
    <w:bookmarkEnd w:id="60"/>
    <w:bookmarkEnd w:id="61"/>
    <w:bookmarkStart w:id="66" w:name="discussion"/>
    <w:p>
      <w:pPr>
        <w:pStyle w:val="Heading1"/>
      </w:pPr>
      <w:r>
        <w:t xml:space="preserve">Discussion</w:t>
      </w:r>
    </w:p>
    <w:bookmarkStart w:id="62" w:name="X673143c9109b694539926f22844922f76c03b60"/>
    <w:p>
      <w:pPr>
        <w:pStyle w:val="Heading2"/>
      </w:pPr>
      <w:r>
        <w:t xml:space="preserve">The role of photoperiod for picocyanobacteria growth in aquatic ecosystems</w:t>
      </w:r>
    </w:p>
    <w:p>
      <w:pPr>
        <w:pStyle w:val="FirstParagraph"/>
      </w:pPr>
      <w:r>
        <w:t xml:space="preserve">In this work, we have shown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logistic growth rates with increasing photoperiod, including constant light conditions. Most of the strains were able to survive even under dose of light of 77,760,000 µmol photons m</w:t>
      </w:r>
      <w:r>
        <w:rPr>
          <w:vertAlign w:val="superscript"/>
        </w:rPr>
        <w:t xml:space="preserve">−2</w:t>
      </w:r>
      <w:r>
        <w:t xml:space="preserve"> </w:t>
      </w:r>
      <w:r>
        <w:t xml:space="preserve">per day. In addition, one of PC-rich strains showed the fastest growth rate in these extreme conditions.</w:t>
      </w:r>
    </w:p>
    <w:p>
      <w:pPr>
        <w:pStyle w:val="BodyText"/>
      </w:pPr>
      <w:r>
        <w:t xml:space="preserve">Phytoplankton are highly sensitive to changes in photoperiod, which serves as a key environmental cue for their metabolic activities and life cycle events</w:t>
      </w:r>
      <w:r>
        <w:t xml:space="preserve"> </w:t>
      </w:r>
      <w:r>
        <w:t xml:space="preserve">[2,30,31]</w:t>
      </w:r>
      <w:r>
        <w:t xml:space="preserve">. The duration of light exposure within a day regulates various physiological processes, including photosynthesis, growth, reproduction, and nutrient assimilation in phytoplankton. Changes in photoperiod trigger adaptive responses, shaping the temporal dynamics and community structure of phytoplankton.</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w:t>
      </w:r>
      <w:r>
        <w:t xml:space="preserve"> </w:t>
      </w:r>
      <w:r>
        <w:rPr>
          <w:iCs/>
          <w:i/>
        </w:rPr>
        <w:t xml:space="preserve">Synechococcus</w:t>
      </w:r>
      <w:r>
        <w:t xml:space="preserve"> </w:t>
      </w:r>
      <w:r>
        <w:t xml:space="preserve">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62"/>
    <w:bookmarkStart w:id="63" w:name="Xc80425f6d252a1924977f7ae855d014f1d72d0c"/>
    <w:p>
      <w:pPr>
        <w:pStyle w:val="Heading2"/>
      </w:pPr>
      <w:r>
        <w:t xml:space="preserve">The importance of Photosynthetically Active Radiation (PAR) for picocyanobacteria growth</w:t>
      </w:r>
    </w:p>
    <w:p>
      <w:pPr>
        <w:pStyle w:val="FirstParagraph"/>
      </w:pPr>
      <w:r>
        <w:t xml:space="preserve">Photosynthetically Active Radiation (PAR) refers to the spectral range of solar radiation (approximately 400-700 nm) that is capable of driving photosynthesis</w:t>
      </w:r>
      <w:r>
        <w:t xml:space="preserve"> </w:t>
      </w:r>
      <w:r>
        <w:t xml:space="preserve">[23]</w:t>
      </w:r>
      <w:r>
        <w:t xml:space="preserve">. Light intensity, a measure of the amount of PAR reaching a specific area, directly affects the physiology of picocyanobacteria</w:t>
      </w:r>
      <w:r>
        <w:t xml:space="preserve"> </w:t>
      </w:r>
      <w:r>
        <w:t xml:space="preserve">[18,32,33]</w:t>
      </w:r>
      <w:r>
        <w:t xml:space="preserve">. Optimal light intensity levels provide the necessary energy for efficient photosynthesis, promoting phytoplankton growth, reproduction, and biomass production. The availability and distribution of PAR and light intensity in aquatic ecosystems are influenced by cloud cover, water depth, and light attenuation due to water turbidity and suspended particles</w:t>
      </w:r>
      <w:r>
        <w:t xml:space="preserve"> </w:t>
      </w:r>
      <w:r>
        <w:t xml:space="preserve">[34–36]</w:t>
      </w:r>
      <w:r>
        <w:t xml:space="preserve">.</w:t>
      </w:r>
      <w:r>
        <w:t xml:space="preserve"> </w:t>
      </w: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[37–39]</w:t>
      </w:r>
      <w:r>
        <w:t xml:space="preserve">. In our work, the PE-rich and PC-rich</w:t>
      </w:r>
      <w:r>
        <w:t xml:space="preserve"> </w:t>
      </w:r>
      <w:r>
        <w:rPr>
          <w:iCs/>
          <w:i/>
        </w:rPr>
        <w:t xml:space="preserve">Synechococcus</w:t>
      </w:r>
      <w:r>
        <w:t xml:space="preserve"> </w:t>
      </w:r>
      <w:r>
        <w:t xml:space="preserve">sp. strains showed faster logistic growth rates with increasing light, although some strains suffered photoinhibition. The</w:t>
      </w:r>
      <w:r>
        <w:t xml:space="preserve"> </w:t>
      </w:r>
      <w:r>
        <w:rPr>
          <w:iCs/>
          <w:i/>
        </w:rPr>
        <w:t xml:space="preserve">Synechococcus</w:t>
      </w:r>
      <w:r>
        <w:t xml:space="preserve"> </w:t>
      </w:r>
      <w:r>
        <w:t xml:space="preserve">sp. strains reach their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The exception was one PC-rich strain, which under this condition reached the maximum growth rate.</w:t>
      </w:r>
    </w:p>
    <w:p>
      <w:pPr>
        <w:pStyle w:val="BodyText"/>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34,35,36,40]</w:t>
      </w:r>
      <w:r>
        <w:t xml:space="preserve">. 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63"/>
    <w:bookmarkStart w:id="64" w:name="X9f020077c96bc57e709361d6d53b1c0c35d1220"/>
    <w:p>
      <w:pPr>
        <w:pStyle w:val="Heading2"/>
      </w:pPr>
      <w:r>
        <w:t xml:space="preserve">The importance of Photosynthetically Usable Radiation (PUR) for picocyanobacteria growth</w:t>
      </w:r>
    </w:p>
    <w:p>
      <w:pPr>
        <w:pStyle w:val="FirstParagraph"/>
      </w:pPr>
      <w:r>
        <w:t xml:space="preserve">Photosynthetically Usable Radiation (PUR) is the fraction of radiant energy (Photosynthetically Active Radiation; PAR) of such wavelength that it can be absorbed by the cyanobacteria and algae. Thus, PUR is always smaller than PAR (PUR &lt; PAR) and depends on the spectral composition of the submarine radiant energy available to algae and their pigment composition determining the spectral absorption properties</w:t>
      </w:r>
      <w:r>
        <w:t xml:space="preserve"> </w:t>
      </w:r>
      <w:r>
        <w:t xml:space="preserve">[23]</w:t>
      </w:r>
      <w:r>
        <w:t xml:space="preserve">. In this study, the PE-rich strains always had a higher PUR/PAR ratio than the PC-rich strains. The PUR/PAR ratio decreased with increasing light in the PE-rich strains, while it initially increased under low light and short photoperiod in the PC-rich strains.</w:t>
      </w:r>
    </w:p>
    <w:p>
      <w:pPr>
        <w:pStyle w:val="BodyText"/>
      </w:pPr>
      <w:r>
        <w:t xml:space="preserve">PUR plays a fundamental role in the growth and productivity of phytoplankton within aquatic ecosystems</w:t>
      </w:r>
      <w:r>
        <w:t xml:space="preserve"> </w:t>
      </w:r>
      <w:r>
        <w:t xml:space="preserve">[4,41,42]</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 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[23,42]</w:t>
      </w:r>
      <w:r>
        <w:t xml:space="preserve">. Understanding the dynamics and availability of PUR is crucial for comprehending the variability of picocyanobacteria communities in different aquatic environments. 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64"/>
    <w:bookmarkStart w:id="65" w:name="X8487362cfe848547bf38673cf38c8515799ed85"/>
    <w:p>
      <w:pPr>
        <w:pStyle w:val="Heading2"/>
      </w:pPr>
      <w:r>
        <w:t xml:space="preserve">The changes in pigment content of picocyanobacteria</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[43–45]</w:t>
      </w:r>
      <w:r>
        <w:t xml:space="preserve">.</w:t>
      </w:r>
    </w:p>
    <w:bookmarkEnd w:id="65"/>
    <w:bookmarkEnd w:id="66"/>
    <w:bookmarkStart w:id="67"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67"/>
    <w:bookmarkStart w:id="151" w:name="references"/>
    <w:p>
      <w:pPr>
        <w:pStyle w:val="Heading1"/>
      </w:pPr>
      <w:r>
        <w:t xml:space="preserve">References</w:t>
      </w:r>
    </w:p>
    <w:bookmarkStart w:id="150" w:name="refs"/>
    <w:bookmarkStart w:id="69" w:name="ref-arrigoSeaIceEcosystems2014"/>
    <w:p>
      <w:pPr>
        <w:pStyle w:val="Bibliography"/>
      </w:pPr>
      <w:r>
        <w:t xml:space="preserve">1.</w:t>
      </w:r>
      <w:r>
        <w:t xml:space="preserve"> </w:t>
      </w:r>
      <w:r>
        <w:t xml:space="preserve">	</w:t>
      </w:r>
      <w:r>
        <w:t xml:space="preserve">Arrigo KR. Sea ice ecosystems. Annual Review of Marine Science. 2014;6: 439–467. doi:</w:t>
      </w:r>
      <w:hyperlink r:id="rId68">
        <w:r>
          <w:rPr>
            <w:rStyle w:val="Hyperlink"/>
          </w:rPr>
          <w:t xml:space="preserve">10.1146/annurev-marine-010213-135103</w:t>
        </w:r>
      </w:hyperlink>
    </w:p>
    <w:bookmarkEnd w:id="69"/>
    <w:bookmarkStart w:id="71" w:name="ref-huismanHowSinkingPhytoplankton2002"/>
    <w:p>
      <w:pPr>
        <w:pStyle w:val="Bibliography"/>
      </w:pPr>
      <w:r>
        <w:t xml:space="preserve">2.</w:t>
      </w:r>
      <w:r>
        <w:t xml:space="preserve"> </w:t>
      </w:r>
      <w:r>
        <w:t xml:space="preserve">	</w:t>
      </w:r>
      <w:r>
        <w:t xml:space="preserve">Huisman J, Arrayás M, Ebert U, Sommeijer B. How</w:t>
      </w:r>
      <w:r>
        <w:t xml:space="preserve"> </w:t>
      </w:r>
      <w:r>
        <w:t xml:space="preserve">Do Sinking Phytoplankton Species Manage</w:t>
      </w:r>
      <w:r>
        <w:t xml:space="preserve"> </w:t>
      </w:r>
      <w:r>
        <w:t xml:space="preserve">to</w:t>
      </w:r>
      <w:r>
        <w:t xml:space="preserve"> </w:t>
      </w:r>
      <w:r>
        <w:t xml:space="preserve">Persist</w:t>
      </w:r>
      <w:r>
        <w:t xml:space="preserve">? The American Naturalist. 2002;159: 245–254. doi:</w:t>
      </w:r>
      <w:hyperlink r:id="rId70">
        <w:r>
          <w:rPr>
            <w:rStyle w:val="Hyperlink"/>
          </w:rPr>
          <w:t xml:space="preserve">10.1086/338511</w:t>
        </w:r>
      </w:hyperlink>
    </w:p>
    <w:bookmarkEnd w:id="71"/>
    <w:bookmarkStart w:id="73" w:name="ref-holtropVibrationalModesWater2021"/>
    <w:p>
      <w:pPr>
        <w:pStyle w:val="Bibliography"/>
      </w:pPr>
      <w:r>
        <w:t xml:space="preserve">3.</w:t>
      </w:r>
      <w:r>
        <w:t xml:space="preserve"> </w:t>
      </w:r>
      <w:r>
        <w:t xml:space="preserve">	</w:t>
      </w:r>
      <w:r>
        <w:t xml:space="preserve">Holtrop T, Huisman J, Stomp M, Biersteker L, Aerts J, Grébert T, et al. Vibrational modes of water predict spectral niches for photosynthesis in lakes and oceans. Nature Ecology &amp; Evolution. 2021;5: 55–66. doi:</w:t>
      </w:r>
      <w:hyperlink r:id="rId72">
        <w:r>
          <w:rPr>
            <w:rStyle w:val="Hyperlink"/>
          </w:rPr>
          <w:t xml:space="preserve">10.1038/s41559-020-01330-x</w:t>
        </w:r>
      </w:hyperlink>
    </w:p>
    <w:bookmarkEnd w:id="73"/>
    <w:bookmarkStart w:id="75" w:name="X8e36a83a9ba5d606fae645d0802ddad45e17210"/>
    <w:p>
      <w:pPr>
        <w:pStyle w:val="Bibliography"/>
      </w:pPr>
      <w:r>
        <w:t xml:space="preserve">4.</w:t>
      </w:r>
      <w:r>
        <w:t xml:space="preserve"> </w:t>
      </w:r>
      <w:r>
        <w:t xml:space="preserve">	</w:t>
      </w:r>
      <w:r>
        <w:t xml:space="preserve">Behrenfeld MJ, O’Malley RT, Siegel DA, McClain CR, Sarmiento JL, Feldman GC, et al. Climate-driven trends in contemporary ocean productivity. Nature. 2006;444: 752–755. doi:</w:t>
      </w:r>
      <w:hyperlink r:id="rId74">
        <w:r>
          <w:rPr>
            <w:rStyle w:val="Hyperlink"/>
          </w:rPr>
          <w:t xml:space="preserve">10.1038/nature05317</w:t>
        </w:r>
      </w:hyperlink>
    </w:p>
    <w:bookmarkEnd w:id="75"/>
    <w:bookmarkStart w:id="77" w:name="X16582abc924775ea18a02daaa5b3b0d304571f0"/>
    <w:p>
      <w:pPr>
        <w:pStyle w:val="Bibliography"/>
      </w:pPr>
      <w:r>
        <w:t xml:space="preserve">5.</w:t>
      </w:r>
      <w:r>
        <w:t xml:space="preserve"> </w:t>
      </w:r>
      <w:r>
        <w:t xml:space="preserve">	</w:t>
      </w:r>
      <w:r>
        <w:t xml:space="preserve">Hutchins DA, Boyd PW. Marine phytoplankton and the changing ocean iron cycle. Nature Climate Change. 2016;6: 1072–1079. doi:</w:t>
      </w:r>
      <w:hyperlink r:id="rId76">
        <w:r>
          <w:rPr>
            <w:rStyle w:val="Hyperlink"/>
          </w:rPr>
          <w:t xml:space="preserve">10.1038/nclimate3147</w:t>
        </w:r>
      </w:hyperlink>
    </w:p>
    <w:bookmarkEnd w:id="77"/>
    <w:bookmarkStart w:id="79" w:name="ref-liPhytoplanktonResponsesNitrogen2015"/>
    <w:p>
      <w:pPr>
        <w:pStyle w:val="Bibliography"/>
      </w:pPr>
      <w:r>
        <w:t xml:space="preserve">6.</w:t>
      </w:r>
      <w:r>
        <w:t xml:space="preserve"> </w:t>
      </w:r>
      <w:r>
        <w:t xml:space="preserve">	</w:t>
      </w:r>
      <w:r>
        <w:t xml:space="preserve">Li Q, Legendre L, Jiao N. Phytoplankton responses to nitrogen and iron limitation in the tropical and subtropical</w:t>
      </w:r>
      <w:r>
        <w:t xml:space="preserve"> </w:t>
      </w:r>
      <w:r>
        <w:t xml:space="preserve">Pacific Ocean</w:t>
      </w:r>
      <w:r>
        <w:t xml:space="preserve">. Journal of Plankton Research. 2015;37: 306–319. doi:</w:t>
      </w:r>
      <w:hyperlink r:id="rId78">
        <w:r>
          <w:rPr>
            <w:rStyle w:val="Hyperlink"/>
          </w:rPr>
          <w:t xml:space="preserve">10.1093/plankt/fbv008</w:t>
        </w:r>
      </w:hyperlink>
    </w:p>
    <w:bookmarkEnd w:id="79"/>
    <w:bookmarkStart w:id="81" w:name="X994c2ad8a043003fa89d97fb17e31a37eda8e22"/>
    <w:p>
      <w:pPr>
        <w:pStyle w:val="Bibliography"/>
      </w:pPr>
      <w:r>
        <w:t xml:space="preserve">7.</w:t>
      </w:r>
      <w:r>
        <w:t xml:space="preserve"> </w:t>
      </w:r>
      <w:r>
        <w:t xml:space="preserve">	</w:t>
      </w:r>
      <w:r>
        <w:t xml:space="preserve">Christaki U, Jacquet S, Dolan JR, Vaulot D, Rassoulzadegan F.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 1999;44: 52–61. doi:</w:t>
      </w:r>
      <w:hyperlink r:id="rId80">
        <w:r>
          <w:rPr>
            <w:rStyle w:val="Hyperlink"/>
          </w:rPr>
          <w:t xml:space="preserve">10.4319/lo.1999.44.1.0052</w:t>
        </w:r>
      </w:hyperlink>
    </w:p>
    <w:bookmarkEnd w:id="81"/>
    <w:bookmarkStart w:id="82" w:name="ref-reynoldsEcologyPhytoplankton2006"/>
    <w:p>
      <w:pPr>
        <w:pStyle w:val="Bibliography"/>
      </w:pPr>
      <w:r>
        <w:t xml:space="preserve">8.</w:t>
      </w:r>
      <w:r>
        <w:t xml:space="preserve"> </w:t>
      </w:r>
      <w:r>
        <w:t xml:space="preserve">	</w:t>
      </w:r>
      <w:r>
        <w:t xml:space="preserve">Reynolds CS. The</w:t>
      </w:r>
      <w:r>
        <w:t xml:space="preserve"> </w:t>
      </w:r>
      <w:r>
        <w:t xml:space="preserve">Ecology</w:t>
      </w:r>
      <w:r>
        <w:t xml:space="preserve"> </w:t>
      </w:r>
      <w:r>
        <w:t xml:space="preserve">of</w:t>
      </w:r>
      <w:r>
        <w:t xml:space="preserve"> </w:t>
      </w:r>
      <w:r>
        <w:t xml:space="preserve">Phytoplankton</w:t>
      </w:r>
      <w:r>
        <w:t xml:space="preserve">.</w:t>
      </w:r>
      <w:r>
        <w:t xml:space="preserve"> </w:t>
      </w:r>
      <w:r>
        <w:t xml:space="preserve">Cambridge University Press</w:t>
      </w:r>
      <w:r>
        <w:t xml:space="preserve">; 2006.</w:t>
      </w:r>
      <w:r>
        <w:t xml:space="preserve"> </w:t>
      </w:r>
    </w:p>
    <w:bookmarkEnd w:id="82"/>
    <w:bookmarkStart w:id="84" w:name="ref-flombaumPresentFutureGlobal2013"/>
    <w:p>
      <w:pPr>
        <w:pStyle w:val="Bibliography"/>
      </w:pPr>
      <w:r>
        <w:t xml:space="preserve">9.</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83">
        <w:r>
          <w:rPr>
            <w:rStyle w:val="Hyperlink"/>
          </w:rPr>
          <w:t xml:space="preserve">10.1073/pnas.1307701110</w:t>
        </w:r>
      </w:hyperlink>
    </w:p>
    <w:bookmarkEnd w:id="84"/>
    <w:bookmarkStart w:id="86" w:name="X1fa63fd480d0916fa60113cb089a7102c347762"/>
    <w:p>
      <w:pPr>
        <w:pStyle w:val="Bibliography"/>
      </w:pPr>
      <w:r>
        <w:t xml:space="preserve">10.</w:t>
      </w:r>
      <w:r>
        <w:t xml:space="preserve"> </w:t>
      </w:r>
      <w:r>
        <w:t xml:space="preserve">	</w:t>
      </w:r>
      <w:r>
        <w:t xml:space="preserve">Li WKW. Composition of ultraphytoplankton in the central</w:t>
      </w:r>
      <w:r>
        <w:t xml:space="preserve"> </w:t>
      </w:r>
      <w:r>
        <w:t xml:space="preserve">North Atlantic</w:t>
      </w:r>
      <w:r>
        <w:t xml:space="preserve">. Marine Ecology Progress Series. 1995;122: 1–8. Available:</w:t>
      </w:r>
      <w:r>
        <w:t xml:space="preserve"> </w:t>
      </w:r>
      <w:hyperlink r:id="rId85">
        <w:r>
          <w:rPr>
            <w:rStyle w:val="Hyperlink"/>
          </w:rPr>
          <w:t xml:space="preserve">https://www.jstor.org/stable/24852252</w:t>
        </w:r>
      </w:hyperlink>
    </w:p>
    <w:bookmarkEnd w:id="86"/>
    <w:bookmarkStart w:id="87" w:name="Xbfaff54bccfc19d169555e01e0dc2d79ae683b9"/>
    <w:p>
      <w:pPr>
        <w:pStyle w:val="Bibliography"/>
      </w:pPr>
      <w:r>
        <w:t xml:space="preserve">11.</w:t>
      </w:r>
      <w:r>
        <w:t xml:space="preserve"> </w:t>
      </w:r>
      <w:r>
        <w:t xml:space="preserve">	</w:t>
      </w:r>
      <w:r>
        <w:t xml:space="preserve">Bracher A, Bouman HA, Brewin RJW, Bricaud A, Brotas V, Ciotti AM, et al.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 2017;4.</w:t>
      </w:r>
      <w:r>
        <w:t xml:space="preserve"> </w:t>
      </w:r>
    </w:p>
    <w:bookmarkEnd w:id="87"/>
    <w:bookmarkStart w:id="89" w:name="ref-xiGlobalRetrievalPhytoplankton2020"/>
    <w:p>
      <w:pPr>
        <w:pStyle w:val="Bibliography"/>
      </w:pPr>
      <w:r>
        <w:t xml:space="preserve">12.</w:t>
      </w:r>
      <w:r>
        <w:t xml:space="preserve"> </w:t>
      </w:r>
      <w:r>
        <w:t xml:space="preserve">	</w:t>
      </w:r>
      <w:r>
        <w:t xml:space="preserve">Xi H, Losa SN, Mangin A, Soppa MA, Garnesson P, Demaria J, et al.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 2020;240: 111704. doi:</w:t>
      </w:r>
      <w:hyperlink r:id="rId88">
        <w:r>
          <w:rPr>
            <w:rStyle w:val="Hyperlink"/>
          </w:rPr>
          <w:t xml:space="preserve">10.1016/j.rse.2020.111704</w:t>
        </w:r>
      </w:hyperlink>
    </w:p>
    <w:bookmarkEnd w:id="89"/>
    <w:bookmarkStart w:id="91" w:name="Xdd79120b20282c277c9165b557c38fccc6be01a"/>
    <w:p>
      <w:pPr>
        <w:pStyle w:val="Bibliography"/>
      </w:pPr>
      <w:r>
        <w:t xml:space="preserve">13.</w:t>
      </w:r>
      <w:r>
        <w:t xml:space="preserve"> </w:t>
      </w:r>
      <w:r>
        <w:t xml:space="preserve">	</w:t>
      </w:r>
      <w:r>
        <w:t xml:space="preserve">Vidussi F, Claustre H, Manca BB, Luchetta A, Marty J-C. Phytoplankton pigment distribution in relation to upper thermocline circulation in the eastern</w:t>
      </w:r>
      <w:r>
        <w:t xml:space="preserve"> </w:t>
      </w:r>
      <w:r>
        <w:t xml:space="preserve">Mediterranean Sea</w:t>
      </w:r>
      <w:r>
        <w:t xml:space="preserve"> </w:t>
      </w:r>
      <w:r>
        <w:t xml:space="preserve">during winter. Journal of Geophysical Research: Oceans. 2001;106: 19939–19956. doi:</w:t>
      </w:r>
      <w:hyperlink r:id="rId90">
        <w:r>
          <w:rPr>
            <w:rStyle w:val="Hyperlink"/>
          </w:rPr>
          <w:t xml:space="preserve">10.1029/1999JC000308</w:t>
        </w:r>
      </w:hyperlink>
    </w:p>
    <w:bookmarkEnd w:id="91"/>
    <w:bookmarkStart w:id="93" w:name="X09e3a183a04b1ca0ab6067bc8778fe856de0f6e"/>
    <w:p>
      <w:pPr>
        <w:pStyle w:val="Bibliography"/>
      </w:pPr>
      <w:r>
        <w:t xml:space="preserve">14.</w:t>
      </w:r>
      <w:r>
        <w:t xml:space="preserve"> </w:t>
      </w:r>
      <w:r>
        <w:t xml:space="preserve">	</w:t>
      </w:r>
      <w:r>
        <w:t xml:space="preserve">Fishwick JR, Aiken J, Barlow R, Sessions H, Bernard S, Ras J.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 2006;86: 1267–1280. doi:</w:t>
      </w:r>
      <w:hyperlink r:id="rId92">
        <w:r>
          <w:rPr>
            <w:rStyle w:val="Hyperlink"/>
          </w:rPr>
          <w:t xml:space="preserve">10.1017/S0025315406014287</w:t>
        </w:r>
      </w:hyperlink>
    </w:p>
    <w:bookmarkEnd w:id="93"/>
    <w:bookmarkStart w:id="95" w:name="X4caa6b578966ef03a2d8ed31de5413af8a80ed0"/>
    <w:p>
      <w:pPr>
        <w:pStyle w:val="Bibliography"/>
      </w:pPr>
      <w:r>
        <w:t xml:space="preserve">15.</w:t>
      </w:r>
      <w:r>
        <w:t xml:space="preserve"> </w:t>
      </w:r>
      <w:r>
        <w:t xml:space="preserve">	</w:t>
      </w:r>
      <w:r>
        <w:t xml:space="preserve">Hirata T, Hardman-Mountford NJ, Brewin RJW, Aiken J, Barlow R, Suzuki K, et al.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 2011;8: 311–327. doi:</w:t>
      </w:r>
      <w:hyperlink r:id="rId94">
        <w:r>
          <w:rPr>
            <w:rStyle w:val="Hyperlink"/>
          </w:rPr>
          <w:t xml:space="preserve">10.5194/bg-8-311-2011</w:t>
        </w:r>
      </w:hyperlink>
    </w:p>
    <w:bookmarkEnd w:id="95"/>
    <w:bookmarkStart w:id="97" w:name="X32f137d065fe8ec6a264e657f8563e21f83164f"/>
    <w:p>
      <w:pPr>
        <w:pStyle w:val="Bibliography"/>
      </w:pPr>
      <w:r>
        <w:t xml:space="preserve">16.</w:t>
      </w:r>
      <w:r>
        <w:t xml:space="preserve"> </w:t>
      </w:r>
      <w:r>
        <w:t xml:space="preserve">	</w:t>
      </w:r>
      <w:r>
        <w:t xml:space="preserve">Six C, Ratin M, Marie D, Corre E.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 2021;118: e2111300118. doi:</w:t>
      </w:r>
      <w:hyperlink r:id="rId96">
        <w:r>
          <w:rPr>
            <w:rStyle w:val="Hyperlink"/>
          </w:rPr>
          <w:t xml:space="preserve">10.1073/pnas.2111300118</w:t>
        </w:r>
      </w:hyperlink>
    </w:p>
    <w:bookmarkEnd w:id="97"/>
    <w:bookmarkStart w:id="99" w:name="X94d31e03dd4a76416149232f9dfc2d0a4e9d24a"/>
    <w:p>
      <w:pPr>
        <w:pStyle w:val="Bibliography"/>
      </w:pPr>
      <w:r>
        <w:t xml:space="preserve">17.</w:t>
      </w:r>
      <w:r>
        <w:t xml:space="preserve"> </w:t>
      </w:r>
      <w:r>
        <w:t xml:space="preserve">	</w:t>
      </w:r>
      <w:r>
        <w:t xml:space="preserve">Haverkamp THA, Schouten D, Doeleman M, Wollenzien U, Huisman J, Stal LJ.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 2009;3: 397–408. doi:</w:t>
      </w:r>
      <w:hyperlink r:id="rId98">
        <w:r>
          <w:rPr>
            <w:rStyle w:val="Hyperlink"/>
          </w:rPr>
          <w:t xml:space="preserve">10.1038/ismej.2008.118</w:t>
        </w:r>
      </w:hyperlink>
    </w:p>
    <w:bookmarkEnd w:id="99"/>
    <w:bookmarkStart w:id="101" w:name="X04bea6dc81879086c9cec5e591858b2b51b8ced"/>
    <w:p>
      <w:pPr>
        <w:pStyle w:val="Bibliography"/>
      </w:pPr>
      <w:r>
        <w:t xml:space="preserve">18.</w:t>
      </w:r>
      <w:r>
        <w:t xml:space="preserve"> </w:t>
      </w:r>
      <w:r>
        <w:t xml:space="preserve">	</w:t>
      </w:r>
      <w:r>
        <w:t xml:space="preserve">Aguilera A, Alegria Zufia J, Bas Conn L, Gurlit L, Śliwińska-Wilczewska S, Budzałek G, et al. Ecophysiological analysis reveals distinct environmental preferences in closely related</w:t>
      </w:r>
      <w:r>
        <w:t xml:space="preserve"> </w:t>
      </w:r>
      <w:r>
        <w:t xml:space="preserve">Baltic Sea</w:t>
      </w:r>
      <w:r>
        <w:t xml:space="preserve"> </w:t>
      </w:r>
      <w:r>
        <w:t xml:space="preserve">picocyanobacteria. Environmental Microbiology. 2023;n/a: 1–12. doi:</w:t>
      </w:r>
      <w:hyperlink r:id="rId100">
        <w:r>
          <w:rPr>
            <w:rStyle w:val="Hyperlink"/>
          </w:rPr>
          <w:t xml:space="preserve">10.1111/1462-2920.16384</w:t>
        </w:r>
      </w:hyperlink>
    </w:p>
    <w:bookmarkEnd w:id="101"/>
    <w:bookmarkStart w:id="103" w:name="ref-sixLightVariabilityIlluminates2007"/>
    <w:p>
      <w:pPr>
        <w:pStyle w:val="Bibliography"/>
      </w:pPr>
      <w:r>
        <w:t xml:space="preserve">19.</w:t>
      </w:r>
      <w:r>
        <w:t xml:space="preserve"> </w:t>
      </w:r>
      <w:r>
        <w:t xml:space="preserve">	</w:t>
      </w:r>
      <w:r>
        <w:t xml:space="preserve">Six C, Finkel ZV, Irwin AJ, Campbell DA.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 2007;2: e1341. doi:</w:t>
      </w:r>
      <w:hyperlink r:id="rId102">
        <w:r>
          <w:rPr>
            <w:rStyle w:val="Hyperlink"/>
          </w:rPr>
          <w:t xml:space="preserve">10.1371/journal.pone.0001341</w:t>
        </w:r>
      </w:hyperlink>
    </w:p>
    <w:bookmarkEnd w:id="103"/>
    <w:bookmarkStart w:id="105" w:name="Xd7d6b0bcb60aabcb149933a8690177800745aff"/>
    <w:p>
      <w:pPr>
        <w:pStyle w:val="Bibliography"/>
      </w:pPr>
      <w:r>
        <w:t xml:space="preserve">20.</w:t>
      </w:r>
      <w:r>
        <w:t xml:space="preserve"> </w:t>
      </w:r>
      <w:r>
        <w:t xml:space="preserve">	</w:t>
      </w:r>
      <w:r>
        <w:t xml:space="preserve">Guillard RRL. Culture of</w:t>
      </w:r>
      <w:r>
        <w:t xml:space="preserve"> </w:t>
      </w:r>
      <w:r>
        <w:t xml:space="preserve">Phytoplankton</w:t>
      </w:r>
      <w:r>
        <w:t xml:space="preserve"> </w:t>
      </w:r>
      <w:r>
        <w:t xml:space="preserve">for</w:t>
      </w:r>
      <w:r>
        <w:t xml:space="preserve"> </w:t>
      </w:r>
      <w:r>
        <w:t xml:space="preserve">Feeding Marine Invertebrates</w:t>
      </w:r>
      <w:r>
        <w:t xml:space="preserve">. In: Smith WL, Chanley MH, editors. Culture of</w:t>
      </w:r>
      <w:r>
        <w:t xml:space="preserve"> </w:t>
      </w:r>
      <w:r>
        <w:t xml:space="preserve">Marine Invertebrate Animals</w:t>
      </w:r>
      <w:r>
        <w:t xml:space="preserve">:</w:t>
      </w:r>
      <w:r>
        <w:t xml:space="preserve"> </w:t>
      </w:r>
      <w:r>
        <w:t xml:space="preserve">Proceedings</w:t>
      </w:r>
      <w:r>
        <w:t xml:space="preserve"> </w:t>
      </w:r>
      <w:r>
        <w:t xml:space="preserve"> </w:t>
      </w:r>
      <w:r>
        <w:t xml:space="preserve">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t xml:space="preserve">Boston, MA</w:t>
      </w:r>
      <w:r>
        <w:t xml:space="preserve">:</w:t>
      </w:r>
      <w:r>
        <w:t xml:space="preserve"> </w:t>
      </w:r>
      <w:r>
        <w:t xml:space="preserve">Springer US</w:t>
      </w:r>
      <w:r>
        <w:t xml:space="preserve">; 1975. pp. 29–60. doi:</w:t>
      </w:r>
      <w:hyperlink r:id="rId104">
        <w:r>
          <w:rPr>
            <w:rStyle w:val="Hyperlink"/>
          </w:rPr>
          <w:t xml:space="preserve">10.1007/978-1-4615-8714-9_3</w:t>
        </w:r>
      </w:hyperlink>
    </w:p>
    <w:bookmarkEnd w:id="105"/>
    <w:bookmarkStart w:id="106" w:name="ref-blakeSituSpectroscopyIntact2012"/>
    <w:p>
      <w:pPr>
        <w:pStyle w:val="Bibliography"/>
      </w:pPr>
      <w:r>
        <w:t xml:space="preserve">21.</w:t>
      </w:r>
      <w:r>
        <w:t xml:space="preserve"> </w:t>
      </w:r>
      <w:r>
        <w:t xml:space="preserve">	</w:t>
      </w:r>
      <w:r>
        <w:t xml:space="preserve">Blake R, Griff M.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 2012;3.</w:t>
      </w:r>
      <w:r>
        <w:t xml:space="preserve"> </w:t>
      </w:r>
    </w:p>
    <w:bookmarkEnd w:id="106"/>
    <w:bookmarkStart w:id="108" w:name="Xe44519f7c4f85a8f2f69ad01347800da25031bd"/>
    <w:p>
      <w:pPr>
        <w:pStyle w:val="Bibliography"/>
      </w:pPr>
      <w:r>
        <w:t xml:space="preserve">22.</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07">
        <w:r>
          <w:rPr>
            <w:rStyle w:val="Hyperlink"/>
          </w:rPr>
          <w:t xml:space="preserve">10.1016/j.jphotobiol.2005.10.002</w:t>
        </w:r>
      </w:hyperlink>
    </w:p>
    <w:bookmarkEnd w:id="108"/>
    <w:bookmarkStart w:id="110" w:name="ref-morelAvailableUsableStored1978"/>
    <w:p>
      <w:pPr>
        <w:pStyle w:val="Bibliography"/>
      </w:pPr>
      <w:r>
        <w:t xml:space="preserve">23.</w:t>
      </w:r>
      <w:r>
        <w:t xml:space="preserve"> </w:t>
      </w:r>
      <w:r>
        <w:t xml:space="preserve">	</w:t>
      </w:r>
      <w:r>
        <w:t xml:space="preserve">Morel A. Available, usable, and stored radiant energy in relation to marine photosynthesis. Deep Sea Research. 1978;25: 673–688. doi:</w:t>
      </w:r>
      <w:hyperlink r:id="rId109">
        <w:r>
          <w:rPr>
            <w:rStyle w:val="Hyperlink"/>
          </w:rPr>
          <w:t xml:space="preserve">10.1016/0146-6291(78)90623-9</w:t>
        </w:r>
      </w:hyperlink>
    </w:p>
    <w:bookmarkEnd w:id="110"/>
    <w:bookmarkStart w:id="112" w:name="ref-stricklandPracticalHandBook1972"/>
    <w:p>
      <w:pPr>
        <w:pStyle w:val="Bibliography"/>
      </w:pPr>
      <w:r>
        <w:t xml:space="preserve">24.</w:t>
      </w:r>
      <w:r>
        <w:t xml:space="preserve"> </w:t>
      </w:r>
      <w:r>
        <w:t xml:space="preserve">	</w:t>
      </w:r>
      <w:r>
        <w:t xml:space="preserve">Strickland JD, Parsons TR. Practical</w:t>
      </w:r>
      <w:r>
        <w:t xml:space="preserve"> </w:t>
      </w:r>
      <w:r>
        <w:t xml:space="preserve">Hand Book</w:t>
      </w:r>
      <w:r>
        <w:t xml:space="preserve"> </w:t>
      </w:r>
      <w:r>
        <w:t xml:space="preserve">of</w:t>
      </w:r>
      <w:r>
        <w:t xml:space="preserve"> </w:t>
      </w:r>
      <w:r>
        <w:t xml:space="preserve">Seawater Analysis</w:t>
      </w:r>
      <w:r>
        <w:t xml:space="preserve">. Fisheries Research Board of Canada. 1972;167 (2nd edition): 1–311. doi:</w:t>
      </w:r>
      <w:hyperlink r:id="rId111">
        <w:r>
          <w:rPr>
            <w:rStyle w:val="Hyperlink"/>
          </w:rPr>
          <w:t xml:space="preserve">DOI: http://dx.doi.org/10.25607/OBP-1791</w:t>
        </w:r>
      </w:hyperlink>
    </w:p>
    <w:bookmarkEnd w:id="112"/>
    <w:bookmarkStart w:id="114" w:name="Xc28194e45477577f5305a15d43fd8f94c25edfb"/>
    <w:p>
      <w:pPr>
        <w:pStyle w:val="Bibliography"/>
      </w:pPr>
      <w:r>
        <w:t xml:space="preserve">25.</w:t>
      </w:r>
      <w:r>
        <w:t xml:space="preserve"> </w:t>
      </w:r>
      <w:r>
        <w:t xml:space="preserve">	</w:t>
      </w:r>
      <w:r>
        <w:t xml:space="preserve">Bennett A, Bogorad L.</w:t>
      </w:r>
      <w:r>
        <w:t xml:space="preserve"> </w:t>
      </w:r>
      <w:r>
        <w:t xml:space="preserve">COMPLEMENTARY CHROMATIC ADAPTATION IN A FILAMENTOUS BLUE-GREEN ALGA</w:t>
      </w:r>
      <w:r>
        <w:t xml:space="preserve">. Journal of Cell Biology. 1973;58: 419–435. doi:</w:t>
      </w:r>
      <w:hyperlink r:id="rId113">
        <w:r>
          <w:rPr>
            <w:rStyle w:val="Hyperlink"/>
          </w:rPr>
          <w:t xml:space="preserve">10.1083/jcb.58.2.419</w:t>
        </w:r>
      </w:hyperlink>
    </w:p>
    <w:bookmarkEnd w:id="114"/>
    <w:bookmarkStart w:id="115" w:name="X34c1da91b17f38eae0f17d00d2af03fe74097ca"/>
    <w:p>
      <w:pPr>
        <w:pStyle w:val="Bibliography"/>
      </w:pPr>
      <w:r>
        <w:t xml:space="preserve">26.</w:t>
      </w:r>
      <w:r>
        <w:t xml:space="preserve"> </w:t>
      </w:r>
      <w:r>
        <w:t xml:space="preserve">	</w:t>
      </w:r>
      <w:r>
        <w:t xml:space="preserve">R Core Team R.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 2019.</w:t>
      </w:r>
      <w:r>
        <w:t xml:space="preserve"> </w:t>
      </w:r>
    </w:p>
    <w:bookmarkEnd w:id="115"/>
    <w:bookmarkStart w:id="116" w:name="X31962ef1e92b8b89eb060ad83f2ed64ae043171"/>
    <w:p>
      <w:pPr>
        <w:pStyle w:val="Bibliography"/>
      </w:pPr>
      <w:r>
        <w:t xml:space="preserve">27.</w:t>
      </w:r>
      <w:r>
        <w:t xml:space="preserve"> </w:t>
      </w:r>
      <w:r>
        <w:t xml:space="preserve">	</w:t>
      </w:r>
      <w:r>
        <w:t xml:space="preserve">Team RStudio.</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 https://support.posit.co/hc/en-us/articles/206212048-Citing-RStudio; 2015.</w:t>
      </w:r>
      <w:r>
        <w:t xml:space="preserve"> </w:t>
      </w:r>
    </w:p>
    <w:bookmarkEnd w:id="116"/>
    <w:bookmarkStart w:id="117" w:name="ref-handelAndreasHandelCustom2020"/>
    <w:p>
      <w:pPr>
        <w:pStyle w:val="Bibliography"/>
      </w:pPr>
      <w:r>
        <w:t xml:space="preserve">28.</w:t>
      </w:r>
      <w:r>
        <w:t xml:space="preserve"> </w:t>
      </w:r>
      <w:r>
        <w:t xml:space="preserve">	</w:t>
      </w:r>
      <w:r>
        <w:t xml:space="preserve">Handel A.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2020.</w:t>
      </w:r>
      <w:r>
        <w:t xml:space="preserve"> </w:t>
      </w:r>
    </w:p>
    <w:bookmarkEnd w:id="117"/>
    <w:bookmarkStart w:id="119" w:name="ref-wickhamDataAnalysis2016"/>
    <w:p>
      <w:pPr>
        <w:pStyle w:val="Bibliography"/>
      </w:pPr>
      <w:r>
        <w:t xml:space="preserve">29.</w:t>
      </w:r>
      <w:r>
        <w:t xml:space="preserve"> </w:t>
      </w:r>
      <w:r>
        <w:t xml:space="preserve">	</w:t>
      </w:r>
      <w:r>
        <w:t xml:space="preserve">Wickham H. Data</w:t>
      </w:r>
      <w:r>
        <w:t xml:space="preserve"> </w:t>
      </w:r>
      <w:r>
        <w:t xml:space="preserve">Analysis</w:t>
      </w:r>
      <w:r>
        <w:t xml:space="preserve">. In: Wickham H, editor. Ggplot2:</w:t>
      </w:r>
      <w:r>
        <w:t xml:space="preserve"> </w:t>
      </w:r>
      <w:r>
        <w:t xml:space="preserve">Elegant Graphics</w:t>
      </w:r>
      <w:r>
        <w:t xml:space="preserve"> </w:t>
      </w:r>
      <w:r>
        <w:t xml:space="preserve">for</w:t>
      </w:r>
      <w:r>
        <w:t xml:space="preserve"> </w:t>
      </w:r>
      <w:r>
        <w:t xml:space="preserve">Data Analysis</w:t>
      </w:r>
      <w:r>
        <w:t xml:space="preserve">.</w:t>
      </w:r>
      <w:r>
        <w:t xml:space="preserve"> </w:t>
      </w:r>
      <w:r>
        <w:t xml:space="preserve">Cham</w:t>
      </w:r>
      <w:r>
        <w:t xml:space="preserve">:</w:t>
      </w:r>
      <w:r>
        <w:t xml:space="preserve"> </w:t>
      </w:r>
      <w:r>
        <w:t xml:space="preserve">Springer International Publishing</w:t>
      </w:r>
      <w:r>
        <w:t xml:space="preserve">; 2016. pp. 189–201. doi:</w:t>
      </w:r>
      <w:hyperlink r:id="rId118">
        <w:r>
          <w:rPr>
            <w:rStyle w:val="Hyperlink"/>
          </w:rPr>
          <w:t xml:space="preserve">10.1007/978-3-319-24277-4_9</w:t>
        </w:r>
      </w:hyperlink>
    </w:p>
    <w:bookmarkEnd w:id="119"/>
    <w:bookmarkStart w:id="121" w:name="X674c42b2835df44d4d11505df44e95bf061f4a3"/>
    <w:p>
      <w:pPr>
        <w:pStyle w:val="Bibliography"/>
      </w:pPr>
      <w:r>
        <w:t xml:space="preserve">30.</w:t>
      </w:r>
      <w:r>
        <w:t xml:space="preserve"> </w:t>
      </w:r>
      <w:r>
        <w:t xml:space="preserve">	</w:t>
      </w:r>
      <w:r>
        <w:t xml:space="preserve">Alberte RS, Tel-Or E, Packer L, Thornber JP. Functional organisation of the photo-synthetic apparatus in heterocysts of nitrogen-fixing cyanobacteria. Nature. 1980;284: 481–483. doi:</w:t>
      </w:r>
      <w:hyperlink r:id="rId120">
        <w:r>
          <w:rPr>
            <w:rStyle w:val="Hyperlink"/>
          </w:rPr>
          <w:t xml:space="preserve">10.1038/284481a0</w:t>
        </w:r>
      </w:hyperlink>
    </w:p>
    <w:bookmarkEnd w:id="121"/>
    <w:bookmarkStart w:id="123" w:name="X0484b3dfebfaa14160c541e1fe2290095bae149"/>
    <w:p>
      <w:pPr>
        <w:pStyle w:val="Bibliography"/>
      </w:pPr>
      <w:r>
        <w:t xml:space="preserve">31.</w:t>
      </w:r>
      <w:r>
        <w:t xml:space="preserve"> </w:t>
      </w:r>
      <w:r>
        <w:t xml:space="preserve">	</w:t>
      </w:r>
      <w:r>
        <w:t xml:space="preserve">LaRoche J, Robicheau BM. The</w:t>
      </w:r>
      <w:r>
        <w:t xml:space="preserve"> </w:t>
      </w:r>
      <w:r>
        <w:t xml:space="preserve">Pelagic Light-Dependent Microbiome</w:t>
      </w:r>
      <w:r>
        <w:t xml:space="preserve">. In: Stal LJ, Cretoiu MS, editors. The</w:t>
      </w:r>
      <w:r>
        <w:t xml:space="preserve"> </w:t>
      </w:r>
      <w:r>
        <w:t xml:space="preserve">Marine Microbiome</w:t>
      </w:r>
      <w:r>
        <w:t xml:space="preserve">.</w:t>
      </w:r>
      <w:r>
        <w:t xml:space="preserve"> </w:t>
      </w:r>
      <w:r>
        <w:t xml:space="preserve">Cham</w:t>
      </w:r>
      <w:r>
        <w:t xml:space="preserve">:</w:t>
      </w:r>
      <w:r>
        <w:t xml:space="preserve"> </w:t>
      </w:r>
      <w:r>
        <w:t xml:space="preserve">Springer International Publishing</w:t>
      </w:r>
      <w:r>
        <w:t xml:space="preserve">; 2022. pp. 395–423. doi:</w:t>
      </w:r>
      <w:hyperlink r:id="rId122">
        <w:r>
          <w:rPr>
            <w:rStyle w:val="Hyperlink"/>
          </w:rPr>
          <w:t xml:space="preserve">10.1007/978-3-030-90383-1_9</w:t>
        </w:r>
      </w:hyperlink>
    </w:p>
    <w:bookmarkEnd w:id="123"/>
    <w:bookmarkStart w:id="125" w:name="X92c5ea3ee71b2ad417094f4aecb6bbb92c05f75"/>
    <w:p>
      <w:pPr>
        <w:pStyle w:val="Bibliography"/>
      </w:pPr>
      <w:r>
        <w:t xml:space="preserve">32.</w:t>
      </w:r>
      <w:r>
        <w:t xml:space="preserve"> </w:t>
      </w:r>
      <w:r>
        <w:t xml:space="preserve">	</w:t>
      </w:r>
      <w:r>
        <w:t xml:space="preserve">Śliwińska-Wilczewska S, Konarzewska Z, Wiśniewska K, Konik M.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 2020;9: 2030. doi:</w:t>
      </w:r>
      <w:hyperlink r:id="rId124">
        <w:r>
          <w:rPr>
            <w:rStyle w:val="Hyperlink"/>
          </w:rPr>
          <w:t xml:space="preserve">10.3390/cells9092030</w:t>
        </w:r>
      </w:hyperlink>
    </w:p>
    <w:bookmarkEnd w:id="125"/>
    <w:bookmarkStart w:id="127" w:name="Xb08e6c3e9b838f57efffe54573ae3f42a71b21a"/>
    <w:p>
      <w:pPr>
        <w:pStyle w:val="Bibliography"/>
      </w:pPr>
      <w:r>
        <w:t xml:space="preserve">33.</w:t>
      </w:r>
      <w:r>
        <w:t xml:space="preserve"> </w:t>
      </w:r>
      <w:r>
        <w:t xml:space="preserve">	</w:t>
      </w:r>
      <w:r>
        <w:t xml:space="preserve">Śliwińska-Wilczewska S, Cieszyńska A, Maculewicz J, Latała 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w:t>
      </w:r>
      <w:r>
        <w:t xml:space="preserve"> </w:t>
      </w:r>
      <w:r>
        <w:t xml:space="preserve"> </w:t>
      </w:r>
      <w:r>
        <w:t xml:space="preserve">a laboratory study. Biogeosciences. 2018;15: 6257–6276. doi:</w:t>
      </w:r>
      <w:hyperlink r:id="rId126">
        <w:r>
          <w:rPr>
            <w:rStyle w:val="Hyperlink"/>
          </w:rPr>
          <w:t xml:space="preserve">10.5194/bg-15-6257-2018</w:t>
        </w:r>
      </w:hyperlink>
    </w:p>
    <w:bookmarkEnd w:id="127"/>
    <w:bookmarkStart w:id="128" w:name="ref-kirkLightPhotosynthesisAquatic1983"/>
    <w:p>
      <w:pPr>
        <w:pStyle w:val="Bibliography"/>
      </w:pPr>
      <w:r>
        <w:t xml:space="preserve">34.</w:t>
      </w:r>
      <w:r>
        <w:t xml:space="preserve"> </w:t>
      </w:r>
      <w:r>
        <w:t xml:space="preserve">	</w:t>
      </w:r>
      <w:r>
        <w:t xml:space="preserve">Kirk JTO. Light and</w:t>
      </w:r>
      <w:r>
        <w:t xml:space="preserve"> </w:t>
      </w:r>
      <w:r>
        <w:t xml:space="preserve">Photosynthesis</w:t>
      </w:r>
      <w:r>
        <w:t xml:space="preserve"> </w:t>
      </w:r>
      <w:r>
        <w:t xml:space="preserve">in</w:t>
      </w:r>
      <w:r>
        <w:t xml:space="preserve"> </w:t>
      </w:r>
      <w:r>
        <w:t xml:space="preserve">Aquatic Ecosystems</w:t>
      </w:r>
      <w:r>
        <w:t xml:space="preserve">. 1983.</w:t>
      </w:r>
      <w:r>
        <w:t xml:space="preserve"> </w:t>
      </w:r>
    </w:p>
    <w:bookmarkEnd w:id="128"/>
    <w:bookmarkStart w:id="130" w:name="ref-fieldPrimaryProductionBiosphere1998"/>
    <w:p>
      <w:pPr>
        <w:pStyle w:val="Bibliography"/>
      </w:pPr>
      <w:r>
        <w:t xml:space="preserve">35.</w:t>
      </w:r>
      <w:r>
        <w:t xml:space="preserve"> </w:t>
      </w:r>
      <w:r>
        <w:t xml:space="preserve">	</w:t>
      </w:r>
      <w:r>
        <w:t xml:space="preserve">Field CB, Behrenfeld MJ, Randerson JT, Falkowski P.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 1998;281: 237–240. doi:</w:t>
      </w:r>
      <w:hyperlink r:id="rId129">
        <w:r>
          <w:rPr>
            <w:rStyle w:val="Hyperlink"/>
          </w:rPr>
          <w:t xml:space="preserve">10.1126/science.281.5374.237</w:t>
        </w:r>
      </w:hyperlink>
    </w:p>
    <w:bookmarkEnd w:id="130"/>
    <w:bookmarkStart w:id="132" w:name="X9690ccfed766ee2a3cf0e557a70d94d679d4198"/>
    <w:p>
      <w:pPr>
        <w:pStyle w:val="Bibliography"/>
      </w:pPr>
      <w:r>
        <w:t xml:space="preserve">36.</w:t>
      </w:r>
      <w:r>
        <w:t xml:space="preserve"> </w:t>
      </w:r>
      <w:r>
        <w:t xml:space="preserve">	</w:t>
      </w:r>
      <w:r>
        <w:t xml:space="preserve">Torremorell A, Llames ME, Pérez GL, Escaray R, Bustingorry J, Zagarese H. Annual patterns of phytoplankton density and primary production in a large, shallow lake: The central role of light. Freshwater Biology. 2009;54: 437–449. doi:</w:t>
      </w:r>
      <w:hyperlink r:id="rId131">
        <w:r>
          <w:rPr>
            <w:rStyle w:val="Hyperlink"/>
          </w:rPr>
          <w:t xml:space="preserve">10.1111/j.1365-2427.2008.02119.x</w:t>
        </w:r>
      </w:hyperlink>
    </w:p>
    <w:bookmarkEnd w:id="132"/>
    <w:bookmarkStart w:id="134" w:name="Xe0c4bb43dc94cd8b810a97588f83daf87524538"/>
    <w:p>
      <w:pPr>
        <w:pStyle w:val="Bibliography"/>
      </w:pPr>
      <w:r>
        <w:t xml:space="preserve">37.</w:t>
      </w:r>
      <w:r>
        <w:t xml:space="preserve"> </w:t>
      </w:r>
      <w:r>
        <w:t xml:space="preserve">	</w:t>
      </w:r>
      <w:r>
        <w:t xml:space="preserve">Chen J, Li Y, Jing H, Zhang X, Xu Z, Xu J, et al. Genomic and transcriptomic evidence for the diverse adaptations of</w:t>
      </w:r>
      <w:r>
        <w:t xml:space="preserve"> </w:t>
      </w:r>
      <w:r>
        <w:t xml:space="preserve">Synechococcus</w:t>
      </w:r>
      <w:r>
        <w:t xml:space="preserve"> </w:t>
      </w:r>
      <w:r>
        <w:t xml:space="preserve">subclusters 5.2 and 5.3 to mesoscale eddies. New Phytologist. 2022;233: 1828–1842. doi:</w:t>
      </w:r>
      <w:hyperlink r:id="rId133">
        <w:r>
          <w:rPr>
            <w:rStyle w:val="Hyperlink"/>
          </w:rPr>
          <w:t xml:space="preserve">10.1111/nph.17903</w:t>
        </w:r>
      </w:hyperlink>
    </w:p>
    <w:bookmarkEnd w:id="134"/>
    <w:bookmarkStart w:id="136" w:name="ref-dufresneUnravelingGenomicMosaic2008"/>
    <w:p>
      <w:pPr>
        <w:pStyle w:val="Bibliography"/>
      </w:pPr>
      <w:r>
        <w:t xml:space="preserve">38.</w:t>
      </w:r>
      <w:r>
        <w:t xml:space="preserve"> </w:t>
      </w:r>
      <w:r>
        <w:t xml:space="preserve">	</w:t>
      </w:r>
      <w:r>
        <w:t xml:space="preserve">Dufresne A, Ostrowski M, Scanlan DJ, Garczarek L, Mazard S, Palenik BP, et al. Unraveling the genomic mosaic of a ubiquitous genus of marine cyanobacteria. Genome Biology. 2008;9: R90. doi:</w:t>
      </w:r>
      <w:hyperlink r:id="rId135">
        <w:r>
          <w:rPr>
            <w:rStyle w:val="Hyperlink"/>
          </w:rPr>
          <w:t xml:space="preserve">10.1186/gb-2008-9-5-r90</w:t>
        </w:r>
      </w:hyperlink>
    </w:p>
    <w:bookmarkEnd w:id="136"/>
    <w:bookmarkStart w:id="137" w:name="Xd584aea8c6775ff5decf8bf398ba031cabfcff2"/>
    <w:p>
      <w:pPr>
        <w:pStyle w:val="Bibliography"/>
      </w:pPr>
      <w:r>
        <w:t xml:space="preserve">39.</w:t>
      </w:r>
      <w:r>
        <w:t xml:space="preserve"> </w:t>
      </w:r>
      <w:r>
        <w:t xml:space="preserve">	</w:t>
      </w:r>
      <w:r>
        <w:t xml:space="preserve">Mella-Flores D, Six C, Ratin M, Partensky F, Boutte C, Le Corguillé G, et al.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 2012;3.</w:t>
      </w:r>
      <w:r>
        <w:t xml:space="preserve"> </w:t>
      </w:r>
    </w:p>
    <w:bookmarkEnd w:id="137"/>
    <w:bookmarkStart w:id="139" w:name="X21dee1dcdfece03937df9d374fd0f913ede34fd"/>
    <w:p>
      <w:pPr>
        <w:pStyle w:val="Bibliography"/>
      </w:pPr>
      <w:r>
        <w:t xml:space="preserve">40.</w:t>
      </w:r>
      <w:r>
        <w:t xml:space="preserve"> </w:t>
      </w:r>
      <w:r>
        <w:t xml:space="preserve">	</w:t>
      </w:r>
      <w:r>
        <w:t xml:space="preserve">Churilova TYa, Suslin VV, Moiseeva NA, Efimova TV.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 2020;86: 1084–1091. doi:</w:t>
      </w:r>
      <w:hyperlink r:id="rId138">
        <w:r>
          <w:rPr>
            <w:rStyle w:val="Hyperlink"/>
          </w:rPr>
          <w:t xml:space="preserve">10.1007/s10812-020-00944-0</w:t>
        </w:r>
      </w:hyperlink>
    </w:p>
    <w:bookmarkEnd w:id="139"/>
    <w:bookmarkStart w:id="141" w:name="ref-falkowskiGlobalCarbonCycle2000"/>
    <w:p>
      <w:pPr>
        <w:pStyle w:val="Bibliography"/>
      </w:pPr>
      <w:r>
        <w:t xml:space="preserve">41.</w:t>
      </w:r>
      <w:r>
        <w:t xml:space="preserve"> </w:t>
      </w:r>
      <w:r>
        <w:t xml:space="preserve">	</w:t>
      </w:r>
      <w:r>
        <w:t xml:space="preserve">Falkowski P, Scholes RJ, Boyle E, Canadell J, Canfield D, Elser J, et al.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 2000;290: 291–296. doi:</w:t>
      </w:r>
      <w:hyperlink r:id="rId140">
        <w:r>
          <w:rPr>
            <w:rStyle w:val="Hyperlink"/>
          </w:rPr>
          <w:t xml:space="preserve">10.1126/science.290.5490.291</w:t>
        </w:r>
      </w:hyperlink>
    </w:p>
    <w:bookmarkEnd w:id="141"/>
    <w:bookmarkStart w:id="143" w:name="ref-morelOpticalModelingUpper1988"/>
    <w:p>
      <w:pPr>
        <w:pStyle w:val="Bibliography"/>
      </w:pPr>
      <w:r>
        <w:t xml:space="preserve">42.</w:t>
      </w:r>
      <w:r>
        <w:t xml:space="preserve"> </w:t>
      </w:r>
      <w:r>
        <w:t xml:space="preserve">	</w:t>
      </w:r>
      <w:r>
        <w:t xml:space="preserve">Morel A. Optical modeling of the upper ocean in relation to its biogenous matter content (case</w:t>
      </w:r>
      <w:r>
        <w:t xml:space="preserve"> </w:t>
      </w:r>
      <w:r>
        <w:t xml:space="preserve">I</w:t>
      </w:r>
      <w:r>
        <w:t xml:space="preserve"> </w:t>
      </w:r>
      <w:r>
        <w:t xml:space="preserve">waters). Journal of Geophysical Research: Oceans. 1988;93: 10749–10768. doi:</w:t>
      </w:r>
      <w:hyperlink r:id="rId142">
        <w:r>
          <w:rPr>
            <w:rStyle w:val="Hyperlink"/>
          </w:rPr>
          <w:t xml:space="preserve">10.1029/JC093iC09p10749</w:t>
        </w:r>
      </w:hyperlink>
    </w:p>
    <w:bookmarkEnd w:id="143"/>
    <w:bookmarkStart w:id="145" w:name="X30cea3580c16855f9d89aaa53f7c7533fb5925c"/>
    <w:p>
      <w:pPr>
        <w:pStyle w:val="Bibliography"/>
      </w:pPr>
      <w:r>
        <w:t xml:space="preserve">43.</w:t>
      </w:r>
      <w:r>
        <w:t xml:space="preserve"> </w:t>
      </w:r>
      <w:r>
        <w:t xml:space="preserve">	</w:t>
      </w:r>
      <w:r>
        <w:t xml:space="preserve">Chakdar H, Pabbi S. Cyanobacterial</w:t>
      </w:r>
      <w:r>
        <w:t xml:space="preserve"> </w:t>
      </w:r>
      <w:r>
        <w:t xml:space="preserve">Phycobilins</w:t>
      </w:r>
      <w:r>
        <w:t xml:space="preserve">:</w:t>
      </w:r>
      <w:r>
        <w:t xml:space="preserve"> </w:t>
      </w:r>
      <w:r>
        <w:t xml:space="preserve">Production</w:t>
      </w:r>
      <w:r>
        <w:t xml:space="preserve">,</w:t>
      </w:r>
      <w:r>
        <w:t xml:space="preserve"> </w:t>
      </w:r>
      <w:r>
        <w:t xml:space="preserve">Purification</w:t>
      </w:r>
      <w:r>
        <w:t xml:space="preserve">, and</w:t>
      </w:r>
      <w:r>
        <w:t xml:space="preserve"> </w:t>
      </w:r>
      <w:r>
        <w:t xml:space="preserve">Regulation</w:t>
      </w:r>
      <w:r>
        <w:t xml:space="preserve">. In: Shukla P, editor.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w:t>
      </w:r>
      <w:r>
        <w:t xml:space="preserve"> </w:t>
      </w:r>
      <w:r>
        <w:t xml:space="preserve">New Delhi</w:t>
      </w:r>
      <w:r>
        <w:t xml:space="preserve">:</w:t>
      </w:r>
      <w:r>
        <w:t xml:space="preserve"> </w:t>
      </w:r>
      <w:r>
        <w:t xml:space="preserve">Springer India</w:t>
      </w:r>
      <w:r>
        <w:t xml:space="preserve">; 2016. pp. 45–69. doi:</w:t>
      </w:r>
      <w:hyperlink r:id="rId144">
        <w:r>
          <w:rPr>
            <w:rStyle w:val="Hyperlink"/>
          </w:rPr>
          <w:t xml:space="preserve">10.1007/978-81-322-2610-9_4</w:t>
        </w:r>
      </w:hyperlink>
    </w:p>
    <w:bookmarkEnd w:id="145"/>
    <w:bookmarkStart w:id="147" w:name="X6e1cd11f28078155642adaf7fcc4ed457e12f7f"/>
    <w:p>
      <w:pPr>
        <w:pStyle w:val="Bibliography"/>
      </w:pPr>
      <w:r>
        <w:t xml:space="preserve">44.</w:t>
      </w:r>
      <w:r>
        <w:t xml:space="preserve"> </w:t>
      </w:r>
      <w:r>
        <w:t xml:space="preserve">	</w:t>
      </w:r>
      <w:r>
        <w:t xml:space="preserve">Stadnichuk IN, Krasilnikov PM, Zlenko DV. Cyanobacterial phycobilisomes and phycobiliproteins. Microbiology. 2015;84: 101–111. doi:</w:t>
      </w:r>
      <w:hyperlink r:id="rId146">
        <w:r>
          <w:rPr>
            <w:rStyle w:val="Hyperlink"/>
          </w:rPr>
          <w:t xml:space="preserve">10.1134/S0026261715020150</w:t>
        </w:r>
      </w:hyperlink>
    </w:p>
    <w:bookmarkEnd w:id="147"/>
    <w:bookmarkStart w:id="149" w:name="X78a690ddcffed75740a96a2fca4b8e9a29d3a28"/>
    <w:p>
      <w:pPr>
        <w:pStyle w:val="Bibliography"/>
      </w:pPr>
      <w:r>
        <w:t xml:space="preserve">45.</w:t>
      </w:r>
      <w:r>
        <w:t xml:space="preserve"> </w:t>
      </w:r>
      <w:r>
        <w:t xml:space="preserve">	</w:t>
      </w:r>
      <w:r>
        <w:t xml:space="preserve">Beale SI. Biosynthesis of</w:t>
      </w:r>
      <w:r>
        <w:t xml:space="preserve"> </w:t>
      </w:r>
      <w:r>
        <w:t xml:space="preserve">Cyanobacterial Tetrapyrrole Pigments</w:t>
      </w:r>
      <w:r>
        <w:t xml:space="preserve">:</w:t>
      </w:r>
      <w:r>
        <w:t xml:space="preserve"> </w:t>
      </w:r>
      <w:r>
        <w:t xml:space="preserve">Hemes</w:t>
      </w:r>
      <w:r>
        <w:t xml:space="preserve">,</w:t>
      </w:r>
      <w:r>
        <w:t xml:space="preserve"> </w:t>
      </w:r>
      <w:r>
        <w:t xml:space="preserve">Chlorophylls</w:t>
      </w:r>
      <w:r>
        <w:t xml:space="preserve">, and</w:t>
      </w:r>
      <w:r>
        <w:t xml:space="preserve"> </w:t>
      </w:r>
      <w:r>
        <w:t xml:space="preserve">Phycobilins</w:t>
      </w:r>
      <w:r>
        <w:t xml:space="preserve">. In: Bryant DA, editor. The</w:t>
      </w:r>
      <w:r>
        <w:t xml:space="preserve"> </w:t>
      </w:r>
      <w:r>
        <w:t xml:space="preserve">Molecular Biology</w:t>
      </w:r>
      <w:r>
        <w:t xml:space="preserve"> </w:t>
      </w:r>
      <w:r>
        <w:t xml:space="preserve">of</w:t>
      </w:r>
      <w:r>
        <w:t xml:space="preserve"> </w:t>
      </w:r>
      <w:r>
        <w:t xml:space="preserve">Cyanobacteria</w:t>
      </w:r>
      <w:r>
        <w:t xml:space="preserve">.</w:t>
      </w:r>
      <w:r>
        <w:t xml:space="preserve"> </w:t>
      </w:r>
      <w:r>
        <w:t xml:space="preserve">Dordrecht</w:t>
      </w:r>
      <w:r>
        <w:t xml:space="preserve">:</w:t>
      </w:r>
      <w:r>
        <w:t xml:space="preserve"> </w:t>
      </w:r>
      <w:r>
        <w:t xml:space="preserve">Springer Netherlands</w:t>
      </w:r>
      <w:r>
        <w:t xml:space="preserve">; 1994. pp. 519–558. doi:</w:t>
      </w:r>
      <w:hyperlink r:id="rId148">
        <w:r>
          <w:rPr>
            <w:rStyle w:val="Hyperlink"/>
          </w:rPr>
          <w:t xml:space="preserve">10.1007/978-94-011-0227-8_17</w:t>
        </w:r>
      </w:hyperlink>
    </w:p>
    <w:bookmarkEnd w:id="149"/>
    <w:bookmarkEnd w:id="150"/>
    <w:bookmarkEnd w:id="151"/>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hyperlink" Id="rId111"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04" Target="https://doi.org/10.1007/978-1-4615-8714-9_3" TargetMode="External" /><Relationship Type="http://schemas.openxmlformats.org/officeDocument/2006/relationships/hyperlink" Id="rId122" Target="https://doi.org/10.1007/978-3-030-90383-1_9" TargetMode="External" /><Relationship Type="http://schemas.openxmlformats.org/officeDocument/2006/relationships/hyperlink" Id="rId118" Target="https://doi.org/10.1007/978-3-319-24277-4_9" TargetMode="External" /><Relationship Type="http://schemas.openxmlformats.org/officeDocument/2006/relationships/hyperlink" Id="rId144" Target="https://doi.org/10.1007/978-81-322-2610-9_4" TargetMode="External" /><Relationship Type="http://schemas.openxmlformats.org/officeDocument/2006/relationships/hyperlink" Id="rId148" Target="https://doi.org/10.1007/978-94-011-0227-8_17" TargetMode="External" /><Relationship Type="http://schemas.openxmlformats.org/officeDocument/2006/relationships/hyperlink" Id="rId138" Target="https://doi.org/10.1007/s10812-020-00944-0" TargetMode="External" /><Relationship Type="http://schemas.openxmlformats.org/officeDocument/2006/relationships/hyperlink" Id="rId109" Target="https://doi.org/10.1016/0146-6291(78)90623-9" TargetMode="External" /><Relationship Type="http://schemas.openxmlformats.org/officeDocument/2006/relationships/hyperlink" Id="rId107" Target="https://doi.org/10.1016/j.jphotobiol.2005.10.002" TargetMode="External" /><Relationship Type="http://schemas.openxmlformats.org/officeDocument/2006/relationships/hyperlink" Id="rId88" Target="https://doi.org/10.1016/j.rse.2020.111704" TargetMode="External" /><Relationship Type="http://schemas.openxmlformats.org/officeDocument/2006/relationships/hyperlink" Id="rId92" Target="https://doi.org/10.1017/S0025315406014287" TargetMode="External" /><Relationship Type="http://schemas.openxmlformats.org/officeDocument/2006/relationships/hyperlink" Id="rId90" Target="https://doi.org/10.1029/1999JC000308" TargetMode="External" /><Relationship Type="http://schemas.openxmlformats.org/officeDocument/2006/relationships/hyperlink" Id="rId142" Target="https://doi.org/10.1029/JC093iC09p10749" TargetMode="External" /><Relationship Type="http://schemas.openxmlformats.org/officeDocument/2006/relationships/hyperlink" Id="rId120" Target="https://doi.org/10.1038/284481a0" TargetMode="External" /><Relationship Type="http://schemas.openxmlformats.org/officeDocument/2006/relationships/hyperlink" Id="rId98" Target="https://doi.org/10.1038/ismej.2008.118" TargetMode="External" /><Relationship Type="http://schemas.openxmlformats.org/officeDocument/2006/relationships/hyperlink" Id="rId74" Target="https://doi.org/10.1038/nature05317" TargetMode="External" /><Relationship Type="http://schemas.openxmlformats.org/officeDocument/2006/relationships/hyperlink" Id="rId76" Target="https://doi.org/10.1038/nclimate3147" TargetMode="External" /><Relationship Type="http://schemas.openxmlformats.org/officeDocument/2006/relationships/hyperlink" Id="rId72" Target="https://doi.org/10.1038/s41559-020-01330-x" TargetMode="External" /><Relationship Type="http://schemas.openxmlformats.org/officeDocument/2006/relationships/hyperlink" Id="rId83" Target="https://doi.org/10.1073/pnas.1307701110" TargetMode="External" /><Relationship Type="http://schemas.openxmlformats.org/officeDocument/2006/relationships/hyperlink" Id="rId96" Target="https://doi.org/10.1073/pnas.2111300118" TargetMode="External" /><Relationship Type="http://schemas.openxmlformats.org/officeDocument/2006/relationships/hyperlink" Id="rId113" Target="https://doi.org/10.1083/jcb.58.2.419" TargetMode="External" /><Relationship Type="http://schemas.openxmlformats.org/officeDocument/2006/relationships/hyperlink" Id="rId70" Target="https://doi.org/10.1086/338511" TargetMode="External" /><Relationship Type="http://schemas.openxmlformats.org/officeDocument/2006/relationships/hyperlink" Id="rId78" Target="https://doi.org/10.1093/plankt/fbv008" TargetMode="External" /><Relationship Type="http://schemas.openxmlformats.org/officeDocument/2006/relationships/hyperlink" Id="rId100" Target="https://doi.org/10.1111/1462-2920.16384" TargetMode="External" /><Relationship Type="http://schemas.openxmlformats.org/officeDocument/2006/relationships/hyperlink" Id="rId131" Target="https://doi.org/10.1111/j.1365-2427.2008.02119.x" TargetMode="External" /><Relationship Type="http://schemas.openxmlformats.org/officeDocument/2006/relationships/hyperlink" Id="rId133" Target="https://doi.org/10.1111/nph.17903" TargetMode="External" /><Relationship Type="http://schemas.openxmlformats.org/officeDocument/2006/relationships/hyperlink" Id="rId129" Target="https://doi.org/10.1126/science.281.5374.237" TargetMode="External" /><Relationship Type="http://schemas.openxmlformats.org/officeDocument/2006/relationships/hyperlink" Id="rId140" Target="https://doi.org/10.1126/science.290.5490.291" TargetMode="External" /><Relationship Type="http://schemas.openxmlformats.org/officeDocument/2006/relationships/hyperlink" Id="rId146" Target="https://doi.org/10.1134/S0026261715020150" TargetMode="External" /><Relationship Type="http://schemas.openxmlformats.org/officeDocument/2006/relationships/hyperlink" Id="rId68" Target="https://doi.org/10.1146/annurev-marine-010213-135103" TargetMode="External" /><Relationship Type="http://schemas.openxmlformats.org/officeDocument/2006/relationships/hyperlink" Id="rId135" Target="https://doi.org/10.1186/gb-2008-9-5-r90" TargetMode="External" /><Relationship Type="http://schemas.openxmlformats.org/officeDocument/2006/relationships/hyperlink" Id="rId102" Target="https://doi.org/10.1371/journal.pone.0001341" TargetMode="External" /><Relationship Type="http://schemas.openxmlformats.org/officeDocument/2006/relationships/hyperlink" Id="rId124" Target="https://doi.org/10.3390/cells9092030" TargetMode="External" /><Relationship Type="http://schemas.openxmlformats.org/officeDocument/2006/relationships/hyperlink" Id="rId80" Target="https://doi.org/10.4319/lo.1999.44.1.0052" TargetMode="External" /><Relationship Type="http://schemas.openxmlformats.org/officeDocument/2006/relationships/hyperlink" Id="rId126" Target="https://doi.org/10.5194/bg-15-6257-2018" TargetMode="External" /><Relationship Type="http://schemas.openxmlformats.org/officeDocument/2006/relationships/hyperlink" Id="rId94" Target="https://doi.org/10.5194/bg-8-311-2011" TargetMode="External" /><Relationship Type="http://schemas.openxmlformats.org/officeDocument/2006/relationships/hyperlink" Id="rId85" Target="https://www.jstor.org/stable/24852252"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11"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04" Target="https://doi.org/10.1007/978-1-4615-8714-9_3" TargetMode="External" /><Relationship Type="http://schemas.openxmlformats.org/officeDocument/2006/relationships/hyperlink" Id="rId122" Target="https://doi.org/10.1007/978-3-030-90383-1_9" TargetMode="External" /><Relationship Type="http://schemas.openxmlformats.org/officeDocument/2006/relationships/hyperlink" Id="rId118" Target="https://doi.org/10.1007/978-3-319-24277-4_9" TargetMode="External" /><Relationship Type="http://schemas.openxmlformats.org/officeDocument/2006/relationships/hyperlink" Id="rId144" Target="https://doi.org/10.1007/978-81-322-2610-9_4" TargetMode="External" /><Relationship Type="http://schemas.openxmlformats.org/officeDocument/2006/relationships/hyperlink" Id="rId148" Target="https://doi.org/10.1007/978-94-011-0227-8_17" TargetMode="External" /><Relationship Type="http://schemas.openxmlformats.org/officeDocument/2006/relationships/hyperlink" Id="rId138" Target="https://doi.org/10.1007/s10812-020-00944-0" TargetMode="External" /><Relationship Type="http://schemas.openxmlformats.org/officeDocument/2006/relationships/hyperlink" Id="rId109" Target="https://doi.org/10.1016/0146-6291(78)90623-9" TargetMode="External" /><Relationship Type="http://schemas.openxmlformats.org/officeDocument/2006/relationships/hyperlink" Id="rId107" Target="https://doi.org/10.1016/j.jphotobiol.2005.10.002" TargetMode="External" /><Relationship Type="http://schemas.openxmlformats.org/officeDocument/2006/relationships/hyperlink" Id="rId88" Target="https://doi.org/10.1016/j.rse.2020.111704" TargetMode="External" /><Relationship Type="http://schemas.openxmlformats.org/officeDocument/2006/relationships/hyperlink" Id="rId92" Target="https://doi.org/10.1017/S0025315406014287" TargetMode="External" /><Relationship Type="http://schemas.openxmlformats.org/officeDocument/2006/relationships/hyperlink" Id="rId90" Target="https://doi.org/10.1029/1999JC000308" TargetMode="External" /><Relationship Type="http://schemas.openxmlformats.org/officeDocument/2006/relationships/hyperlink" Id="rId142" Target="https://doi.org/10.1029/JC093iC09p10749" TargetMode="External" /><Relationship Type="http://schemas.openxmlformats.org/officeDocument/2006/relationships/hyperlink" Id="rId120" Target="https://doi.org/10.1038/284481a0" TargetMode="External" /><Relationship Type="http://schemas.openxmlformats.org/officeDocument/2006/relationships/hyperlink" Id="rId98" Target="https://doi.org/10.1038/ismej.2008.118" TargetMode="External" /><Relationship Type="http://schemas.openxmlformats.org/officeDocument/2006/relationships/hyperlink" Id="rId74" Target="https://doi.org/10.1038/nature05317" TargetMode="External" /><Relationship Type="http://schemas.openxmlformats.org/officeDocument/2006/relationships/hyperlink" Id="rId76" Target="https://doi.org/10.1038/nclimate3147" TargetMode="External" /><Relationship Type="http://schemas.openxmlformats.org/officeDocument/2006/relationships/hyperlink" Id="rId72" Target="https://doi.org/10.1038/s41559-020-01330-x" TargetMode="External" /><Relationship Type="http://schemas.openxmlformats.org/officeDocument/2006/relationships/hyperlink" Id="rId83" Target="https://doi.org/10.1073/pnas.1307701110" TargetMode="External" /><Relationship Type="http://schemas.openxmlformats.org/officeDocument/2006/relationships/hyperlink" Id="rId96" Target="https://doi.org/10.1073/pnas.2111300118" TargetMode="External" /><Relationship Type="http://schemas.openxmlformats.org/officeDocument/2006/relationships/hyperlink" Id="rId113" Target="https://doi.org/10.1083/jcb.58.2.419" TargetMode="External" /><Relationship Type="http://schemas.openxmlformats.org/officeDocument/2006/relationships/hyperlink" Id="rId70" Target="https://doi.org/10.1086/338511" TargetMode="External" /><Relationship Type="http://schemas.openxmlformats.org/officeDocument/2006/relationships/hyperlink" Id="rId78" Target="https://doi.org/10.1093/plankt/fbv008" TargetMode="External" /><Relationship Type="http://schemas.openxmlformats.org/officeDocument/2006/relationships/hyperlink" Id="rId100" Target="https://doi.org/10.1111/1462-2920.16384" TargetMode="External" /><Relationship Type="http://schemas.openxmlformats.org/officeDocument/2006/relationships/hyperlink" Id="rId131" Target="https://doi.org/10.1111/j.1365-2427.2008.02119.x" TargetMode="External" /><Relationship Type="http://schemas.openxmlformats.org/officeDocument/2006/relationships/hyperlink" Id="rId133" Target="https://doi.org/10.1111/nph.17903" TargetMode="External" /><Relationship Type="http://schemas.openxmlformats.org/officeDocument/2006/relationships/hyperlink" Id="rId129" Target="https://doi.org/10.1126/science.281.5374.237" TargetMode="External" /><Relationship Type="http://schemas.openxmlformats.org/officeDocument/2006/relationships/hyperlink" Id="rId140" Target="https://doi.org/10.1126/science.290.5490.291" TargetMode="External" /><Relationship Type="http://schemas.openxmlformats.org/officeDocument/2006/relationships/hyperlink" Id="rId146" Target="https://doi.org/10.1134/S0026261715020150" TargetMode="External" /><Relationship Type="http://schemas.openxmlformats.org/officeDocument/2006/relationships/hyperlink" Id="rId68" Target="https://doi.org/10.1146/annurev-marine-010213-135103" TargetMode="External" /><Relationship Type="http://schemas.openxmlformats.org/officeDocument/2006/relationships/hyperlink" Id="rId135" Target="https://doi.org/10.1186/gb-2008-9-5-r90" TargetMode="External" /><Relationship Type="http://schemas.openxmlformats.org/officeDocument/2006/relationships/hyperlink" Id="rId102" Target="https://doi.org/10.1371/journal.pone.0001341" TargetMode="External" /><Relationship Type="http://schemas.openxmlformats.org/officeDocument/2006/relationships/hyperlink" Id="rId124" Target="https://doi.org/10.3390/cells9092030" TargetMode="External" /><Relationship Type="http://schemas.openxmlformats.org/officeDocument/2006/relationships/hyperlink" Id="rId80" Target="https://doi.org/10.4319/lo.1999.44.1.0052" TargetMode="External" /><Relationship Type="http://schemas.openxmlformats.org/officeDocument/2006/relationships/hyperlink" Id="rId126" Target="https://doi.org/10.5194/bg-15-6257-2018" TargetMode="External" /><Relationship Type="http://schemas.openxmlformats.org/officeDocument/2006/relationships/hyperlink" Id="rId94" Target="https://doi.org/10.5194/bg-8-311-2011" TargetMode="External" /><Relationship Type="http://schemas.openxmlformats.org/officeDocument/2006/relationships/hyperlink" Id="rId85" Target="https://www.jstor.org/stable/24852252"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2024-03-01T14:37:10Z</dcterms:created>
  <dcterms:modified xsi:type="dcterms:W3CDTF">2024-03-01T14:37:10Z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